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DBBA5" w14:textId="77777777" w:rsidR="00530F18" w:rsidRDefault="00530F18" w:rsidP="00212C53"/>
    <w:p w14:paraId="3B3472BF" w14:textId="72C5CA86" w:rsidR="0075027C" w:rsidRPr="004B365D" w:rsidRDefault="00452F70" w:rsidP="0075027C">
      <w:pPr>
        <w:pStyle w:val="ASMHeading1"/>
        <w:rPr>
          <w:bCs/>
        </w:rPr>
      </w:pPr>
      <w:r>
        <w:t xml:space="preserve">Legal </w:t>
      </w:r>
      <w:r w:rsidRPr="007272AE">
        <w:t>Studies</w:t>
      </w:r>
      <w:r w:rsidRPr="008A142C">
        <w:t xml:space="preserve">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6D6CFE1D" w14:textId="77777777" w:rsidTr="008A142C">
        <w:trPr>
          <w:trHeight w:val="425"/>
        </w:trPr>
        <w:tc>
          <w:tcPr>
            <w:tcW w:w="1985" w:type="dxa"/>
            <w:tcBorders>
              <w:right w:val="single" w:sz="4" w:space="0" w:color="auto"/>
            </w:tcBorders>
            <w:shd w:val="clear" w:color="auto" w:fill="F2F2F2" w:themeFill="background1" w:themeFillShade="F2"/>
            <w:vAlign w:val="center"/>
          </w:tcPr>
          <w:p w14:paraId="6622E000"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62F85F4D" w14:textId="09AF4EF1" w:rsidR="005C77DB" w:rsidRPr="00644755" w:rsidRDefault="00452F70" w:rsidP="000D22C4">
            <w:pPr>
              <w:rPr>
                <w:rFonts w:asciiTheme="minorHAnsi" w:hAnsiTheme="minorHAnsi"/>
              </w:rPr>
            </w:pPr>
            <w:r>
              <w:t>27836</w:t>
            </w:r>
          </w:p>
        </w:tc>
      </w:tr>
      <w:tr w:rsidR="005C77DB" w14:paraId="0CC88C99" w14:textId="77777777" w:rsidTr="008A142C">
        <w:trPr>
          <w:trHeight w:val="425"/>
        </w:trPr>
        <w:tc>
          <w:tcPr>
            <w:tcW w:w="1985" w:type="dxa"/>
            <w:shd w:val="clear" w:color="auto" w:fill="F2F2F2" w:themeFill="background1" w:themeFillShade="F2"/>
            <w:vAlign w:val="center"/>
          </w:tcPr>
          <w:p w14:paraId="095D8305"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6377FA41" w14:textId="27C0EC37" w:rsidR="005C77DB" w:rsidRPr="00235FFE" w:rsidRDefault="00452F70" w:rsidP="000D22C4">
            <w:r>
              <w:t>Explain concepts of democracy and government in a New Zealand context</w:t>
            </w:r>
          </w:p>
        </w:tc>
      </w:tr>
      <w:tr w:rsidR="00235FFE" w14:paraId="10A36CDC" w14:textId="77777777" w:rsidTr="008A142C">
        <w:trPr>
          <w:trHeight w:val="425"/>
        </w:trPr>
        <w:tc>
          <w:tcPr>
            <w:tcW w:w="1985" w:type="dxa"/>
            <w:shd w:val="clear" w:color="auto" w:fill="F2F2F2" w:themeFill="background1" w:themeFillShade="F2"/>
            <w:vAlign w:val="center"/>
          </w:tcPr>
          <w:p w14:paraId="04C67C2A"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4D95FBAC" w14:textId="58289FDC" w:rsidR="005C77DB" w:rsidRPr="00235FFE" w:rsidRDefault="00452F70" w:rsidP="000D22C4">
            <w:r>
              <w:t>2</w:t>
            </w:r>
          </w:p>
        </w:tc>
        <w:tc>
          <w:tcPr>
            <w:tcW w:w="1417" w:type="dxa"/>
            <w:shd w:val="clear" w:color="auto" w:fill="F2F2F2" w:themeFill="background1" w:themeFillShade="F2"/>
            <w:vAlign w:val="center"/>
          </w:tcPr>
          <w:p w14:paraId="0DE4D9F7"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1F8AA276" w14:textId="1E114F08" w:rsidR="005C77DB" w:rsidRPr="00235FFE" w:rsidRDefault="00452F70" w:rsidP="000D22C4">
            <w:r>
              <w:t>4</w:t>
            </w:r>
          </w:p>
        </w:tc>
        <w:tc>
          <w:tcPr>
            <w:tcW w:w="1417" w:type="dxa"/>
            <w:shd w:val="clear" w:color="auto" w:fill="F2F2F2" w:themeFill="background1" w:themeFillShade="F2"/>
            <w:vAlign w:val="center"/>
          </w:tcPr>
          <w:p w14:paraId="24875885"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775B9D03" w14:textId="559D3A99" w:rsidR="005C77DB" w:rsidRPr="00235FFE" w:rsidRDefault="00452F70" w:rsidP="000D22C4">
            <w:r>
              <w:t>3</w:t>
            </w:r>
          </w:p>
        </w:tc>
      </w:tr>
    </w:tbl>
    <w:p w14:paraId="6893F5A2" w14:textId="77777777" w:rsidR="000F014C" w:rsidRPr="003E2601" w:rsidRDefault="000F014C" w:rsidP="00885350">
      <w:pPr>
        <w:pStyle w:val="ASMHeading2"/>
      </w:pPr>
      <w:r w:rsidRPr="003E2601">
        <w:t xml:space="preserve">Assessor Guidelines </w:t>
      </w:r>
    </w:p>
    <w:p w14:paraId="0F432D28"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5FB5E929" w14:textId="77777777" w:rsidTr="002030CB">
        <w:tc>
          <w:tcPr>
            <w:tcW w:w="9072" w:type="dxa"/>
            <w:shd w:val="clear" w:color="auto" w:fill="E2F1F4"/>
          </w:tcPr>
          <w:p w14:paraId="1F282130" w14:textId="77777777" w:rsidR="00D0053D" w:rsidRPr="002030CB" w:rsidRDefault="00D0053D" w:rsidP="00D0053D">
            <w:pPr>
              <w:pStyle w:val="Heading2"/>
              <w:rPr>
                <w:rStyle w:val="Strong"/>
              </w:rPr>
            </w:pPr>
            <w:r w:rsidRPr="002030CB">
              <w:rPr>
                <w:rStyle w:val="Strong"/>
              </w:rPr>
              <w:t>Note</w:t>
            </w:r>
            <w:r>
              <w:rPr>
                <w:rStyle w:val="Strong"/>
              </w:rPr>
              <w:t>s</w:t>
            </w:r>
          </w:p>
          <w:p w14:paraId="618DF71E"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1E4E1B15" w14:textId="3873ADF2" w:rsidR="00D0053D" w:rsidRDefault="00D0053D" w:rsidP="00D0053D">
            <w:r w:rsidRPr="004F5058">
              <w:t>Assessors must manage authenticity for any assessment from a public source, because</w:t>
            </w:r>
            <w:r>
              <w:t xml:space="preserve"> </w:t>
            </w:r>
            <w:proofErr w:type="spellStart"/>
            <w:r w:rsidR="00C70C3C" w:rsidRPr="00C70C3C">
              <w:t>ākonga</w:t>
            </w:r>
            <w:proofErr w:type="spellEnd"/>
            <w:r w:rsidR="00C70C3C" w:rsidRPr="00C70C3C">
              <w:t>/learner</w:t>
            </w:r>
            <w:r w:rsidRPr="00C70C3C">
              <w:t>s</w:t>
            </w:r>
            <w:r w:rsidRPr="004F5058">
              <w:t xml:space="preserve"> may have access to the assessment schedule or </w:t>
            </w:r>
            <w:proofErr w:type="spellStart"/>
            <w:r w:rsidR="00C70C3C">
              <w:t>ākonga</w:t>
            </w:r>
            <w:proofErr w:type="spellEnd"/>
            <w:r w:rsidR="00C70C3C">
              <w:t>/learner</w:t>
            </w:r>
            <w:r w:rsidRPr="004F5058">
              <w:t xml:space="preserve"> exemplar material. Use of</w:t>
            </w:r>
            <w:r>
              <w:t xml:space="preserve"> </w:t>
            </w:r>
            <w:r w:rsidRPr="004F5058">
              <w:t xml:space="preserve">this assessment resource without modification may mean that </w:t>
            </w:r>
            <w:proofErr w:type="spellStart"/>
            <w:r w:rsidR="00C70C3C">
              <w:t>ākonga</w:t>
            </w:r>
            <w:proofErr w:type="spellEnd"/>
            <w:r w:rsidR="00C70C3C">
              <w:t>/learner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3571BEA9"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67AC1E8D" w14:textId="77777777" w:rsidR="00D0053D" w:rsidRDefault="00D0053D" w:rsidP="00D0053D">
            <w:pPr>
              <w:rPr>
                <w:rFonts w:eastAsia="Mulish" w:cs="Mulish"/>
                <w:color w:val="0563C1"/>
              </w:rPr>
            </w:pPr>
            <w:r w:rsidRPr="006F23A1">
              <w:t>See</w:t>
            </w:r>
            <w:r w:rsidRPr="75F2CE7F">
              <w:rPr>
                <w:rFonts w:eastAsia="Inter" w:cs="Inter"/>
                <w:color w:val="2F5496" w:themeColor="accent1" w:themeShade="BF"/>
                <w:szCs w:val="22"/>
              </w:rPr>
              <w:t xml:space="preserv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6F23A1">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511CFA29" w14:textId="40A28D7B" w:rsidR="004F5058" w:rsidRDefault="00D0053D" w:rsidP="00D0053D">
            <w:pPr>
              <w:rPr>
                <w:b/>
                <w:bCs/>
                <w:sz w:val="28"/>
                <w:szCs w:val="28"/>
              </w:rPr>
            </w:pPr>
            <w:r w:rsidRPr="75F2CE7F">
              <w:rPr>
                <w:rFonts w:eastAsia="Inter" w:cs="Inter"/>
                <w:szCs w:val="22"/>
              </w:rPr>
              <w:t xml:space="preserve">Assessors should use innovative, valid and fair ways of recognising achievement, without overburdening themselves or the </w:t>
            </w:r>
            <w:proofErr w:type="spellStart"/>
            <w:r w:rsidR="00C70C3C" w:rsidRPr="00A8211D">
              <w:t>ākonga</w:t>
            </w:r>
            <w:proofErr w:type="spellEnd"/>
            <w:r w:rsidR="00C70C3C" w:rsidRPr="00A8211D">
              <w:t>/learner</w:t>
            </w:r>
            <w:r w:rsidR="00C70C3C" w:rsidRPr="75F2CE7F">
              <w:rPr>
                <w:rFonts w:eastAsia="Inter" w:cs="Inter"/>
                <w:szCs w:val="22"/>
              </w:rPr>
              <w:t xml:space="preserve"> </w:t>
            </w:r>
            <w:r w:rsidRPr="75F2CE7F">
              <w:rPr>
                <w:rFonts w:eastAsia="Inter" w:cs="Inter"/>
                <w:szCs w:val="22"/>
              </w:rPr>
              <w:t>with too much assessment.</w:t>
            </w:r>
          </w:p>
        </w:tc>
      </w:tr>
    </w:tbl>
    <w:p w14:paraId="60BEA3CF" w14:textId="77777777" w:rsidR="00474691" w:rsidRDefault="00474691" w:rsidP="00212C53"/>
    <w:p w14:paraId="0C9F14D8"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452F70">
        <w:rPr>
          <w:rStyle w:val="PageNumber"/>
          <w:noProof/>
          <w:lang w:val="en-GB"/>
        </w:rPr>
        <w:t>2</w:t>
      </w:r>
      <w:r w:rsidRPr="00EE39FF">
        <w:rPr>
          <w:rStyle w:val="PageNumber"/>
          <w:lang w:val="en-GB"/>
        </w:rPr>
        <w:fldChar w:fldCharType="end"/>
      </w:r>
    </w:p>
    <w:p w14:paraId="4DEF5160"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452F70">
        <w:rPr>
          <w:rStyle w:val="PageNumber"/>
          <w:noProof/>
          <w:lang w:val="en-GB"/>
        </w:rPr>
        <w:t>2</w:t>
      </w:r>
      <w:r w:rsidRPr="00EE39FF">
        <w:rPr>
          <w:rStyle w:val="PageNumber"/>
          <w:lang w:val="en-GB"/>
        </w:rPr>
        <w:fldChar w:fldCharType="end"/>
      </w:r>
    </w:p>
    <w:p w14:paraId="700AFD79" w14:textId="77777777" w:rsidR="00BB3897" w:rsidRDefault="00BB3897">
      <w:pPr>
        <w:spacing w:before="0" w:after="0"/>
        <w:rPr>
          <w:rFonts w:ascii="Mulish" w:eastAsiaTheme="majorEastAsia" w:hAnsi="Mulish" w:cstheme="majorBidi"/>
          <w:b/>
          <w:bCs/>
          <w:color w:val="005A69"/>
          <w:sz w:val="28"/>
          <w:szCs w:val="28"/>
        </w:rPr>
      </w:pPr>
      <w:r>
        <w:rPr>
          <w:b/>
          <w:bCs/>
          <w:color w:val="005A69"/>
          <w:sz w:val="28"/>
          <w:szCs w:val="28"/>
        </w:rPr>
        <w:br w:type="page"/>
      </w:r>
    </w:p>
    <w:p w14:paraId="71119E79" w14:textId="252AA50F"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3A1A6815" w14:textId="2FE9558A" w:rsidR="00452F70" w:rsidRDefault="00452F70" w:rsidP="00452F70">
      <w:r>
        <w:t xml:space="preserve">In this activity, </w:t>
      </w:r>
      <w:proofErr w:type="spellStart"/>
      <w:r w:rsidR="00C70C3C" w:rsidRPr="00A8211D">
        <w:t>ākonga</w:t>
      </w:r>
      <w:proofErr w:type="spellEnd"/>
      <w:r w:rsidR="00C70C3C" w:rsidRPr="00A8211D">
        <w:t>/learner</w:t>
      </w:r>
      <w:r>
        <w:t>s will explore two concepts of democracy and government by explaining each in terms of aspects of governance, using actual examples from a New Zealand context.</w:t>
      </w:r>
    </w:p>
    <w:p w14:paraId="2217C718" w14:textId="77777777" w:rsidR="00452F70" w:rsidRDefault="00452F70" w:rsidP="00452F70">
      <w:r>
        <w:t>The two concepts of democracy and government may include but are not limited to – rule of law, separation of powers, liberal democracy, rights and their limitations, constitutional sovereignty.</w:t>
      </w:r>
    </w:p>
    <w:p w14:paraId="50DB3AD2" w14:textId="77777777" w:rsidR="00452F70" w:rsidRPr="00F67967" w:rsidRDefault="00452F70" w:rsidP="00452F70">
      <w:pPr>
        <w:keepNext/>
        <w:keepLines/>
      </w:pPr>
      <w:r>
        <w:t xml:space="preserve">Aspects of governance may include but are not limited to – Magna Carta and limits on the power of the monarch, relationship between </w:t>
      </w:r>
      <w:proofErr w:type="spellStart"/>
      <w:r>
        <w:t>tangata</w:t>
      </w:r>
      <w:proofErr w:type="spellEnd"/>
      <w:r>
        <w:t xml:space="preserve"> whenua and the Crown as regards </w:t>
      </w:r>
      <w:proofErr w:type="spellStart"/>
      <w:r>
        <w:t>te</w:t>
      </w:r>
      <w:proofErr w:type="spellEnd"/>
      <w:r>
        <w:t xml:space="preserve"> </w:t>
      </w:r>
      <w:proofErr w:type="spellStart"/>
      <w:r>
        <w:t>Tiriti</w:t>
      </w:r>
      <w:proofErr w:type="spellEnd"/>
      <w:r>
        <w:t xml:space="preserve"> o Waitangi, parliamentary sovereignty and statute as highest form of law, absence of a fully written constitution, role of the courts, delegated legislation.</w:t>
      </w:r>
    </w:p>
    <w:p w14:paraId="3C45DCF5"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20D550CD" w14:textId="77777777" w:rsidR="00452F70" w:rsidRPr="00050342" w:rsidRDefault="00452F70" w:rsidP="00452F70">
      <w:pPr>
        <w:pStyle w:val="Bullet"/>
        <w:numPr>
          <w:ilvl w:val="0"/>
          <w:numId w:val="11"/>
        </w:numPr>
        <w:tabs>
          <w:tab w:val="left" w:pos="567"/>
        </w:tabs>
        <w:ind w:left="567" w:hanging="567"/>
        <w:rPr>
          <w:rFonts w:ascii="Symbol" w:hAnsi="Symbol"/>
        </w:rPr>
      </w:pPr>
      <w:r w:rsidRPr="00050342">
        <w:t xml:space="preserve">For award with </w:t>
      </w:r>
      <w:r w:rsidRPr="00050342">
        <w:rPr>
          <w:b/>
          <w:i/>
        </w:rPr>
        <w:t>Achieved</w:t>
      </w:r>
      <w:r w:rsidRPr="00050342">
        <w:t>, concepts of democracy and government are explained in a New Zealand context.</w:t>
      </w:r>
    </w:p>
    <w:p w14:paraId="32899054" w14:textId="77777777" w:rsidR="00452F70" w:rsidRPr="00050342" w:rsidRDefault="00452F70" w:rsidP="00452F70">
      <w:pPr>
        <w:pStyle w:val="Bullet"/>
        <w:numPr>
          <w:ilvl w:val="0"/>
          <w:numId w:val="11"/>
        </w:numPr>
        <w:tabs>
          <w:tab w:val="left" w:pos="567"/>
        </w:tabs>
        <w:ind w:left="567" w:hanging="567"/>
      </w:pPr>
      <w:r w:rsidRPr="00050342">
        <w:t xml:space="preserve">For award with </w:t>
      </w:r>
      <w:r w:rsidRPr="00050342">
        <w:rPr>
          <w:b/>
          <w:i/>
        </w:rPr>
        <w:t>Merit</w:t>
      </w:r>
      <w:r w:rsidRPr="00050342">
        <w:t xml:space="preserve">, the explanation of two concepts of democracy and government </w:t>
      </w:r>
      <w:r w:rsidRPr="00050342">
        <w:rPr>
          <w:lang w:val="en-GB"/>
        </w:rPr>
        <w:t xml:space="preserve">is </w:t>
      </w:r>
      <w:r w:rsidRPr="005F60BB">
        <w:t>demonstrated</w:t>
      </w:r>
      <w:r w:rsidRPr="00050342">
        <w:rPr>
          <w:lang w:val="en-GB"/>
        </w:rPr>
        <w:t xml:space="preserve"> by </w:t>
      </w:r>
      <w:r w:rsidRPr="00050342">
        <w:t>selecting and applying actual example(s) and applying relevant supporting detail that may include but is not limited to any one of:</w:t>
      </w:r>
    </w:p>
    <w:p w14:paraId="6272C7C5" w14:textId="77777777" w:rsidR="00452F70" w:rsidRPr="005F60BB" w:rsidRDefault="00452F70" w:rsidP="00452F70">
      <w:pPr>
        <w:pStyle w:val="Bullet"/>
        <w:numPr>
          <w:ilvl w:val="1"/>
          <w:numId w:val="12"/>
        </w:numPr>
        <w:tabs>
          <w:tab w:val="left" w:pos="993"/>
        </w:tabs>
        <w:ind w:hanging="873"/>
      </w:pPr>
      <w:r w:rsidRPr="005F60BB">
        <w:t xml:space="preserve">case </w:t>
      </w:r>
      <w:proofErr w:type="gramStart"/>
      <w:r w:rsidRPr="005F60BB">
        <w:t>studies;</w:t>
      </w:r>
      <w:proofErr w:type="gramEnd"/>
    </w:p>
    <w:p w14:paraId="6866C7ED" w14:textId="77777777" w:rsidR="00452F70" w:rsidRPr="005F60BB" w:rsidRDefault="00452F70" w:rsidP="00452F70">
      <w:pPr>
        <w:pStyle w:val="Bullet"/>
        <w:numPr>
          <w:ilvl w:val="1"/>
          <w:numId w:val="12"/>
        </w:numPr>
        <w:tabs>
          <w:tab w:val="left" w:pos="993"/>
        </w:tabs>
        <w:ind w:hanging="873"/>
      </w:pPr>
      <w:proofErr w:type="gramStart"/>
      <w:r w:rsidRPr="005F60BB">
        <w:t>statistics;</w:t>
      </w:r>
      <w:proofErr w:type="gramEnd"/>
    </w:p>
    <w:p w14:paraId="4A10B680" w14:textId="77777777" w:rsidR="00452F70" w:rsidRPr="00050342" w:rsidRDefault="00452F70" w:rsidP="00452F70">
      <w:pPr>
        <w:pStyle w:val="Bullet"/>
        <w:numPr>
          <w:ilvl w:val="1"/>
          <w:numId w:val="12"/>
        </w:numPr>
        <w:tabs>
          <w:tab w:val="left" w:pos="993"/>
        </w:tabs>
        <w:ind w:hanging="873"/>
        <w:rPr>
          <w:rFonts w:ascii="Symbol" w:hAnsi="Symbol"/>
        </w:rPr>
      </w:pPr>
      <w:r w:rsidRPr="005F60BB">
        <w:t>news</w:t>
      </w:r>
      <w:r w:rsidRPr="00050342">
        <w:rPr>
          <w:lang w:val="en-GB"/>
        </w:rPr>
        <w:t xml:space="preserve"> media reports.</w:t>
      </w:r>
    </w:p>
    <w:p w14:paraId="7E361973" w14:textId="77777777" w:rsidR="00452F70" w:rsidRPr="00050342" w:rsidRDefault="00452F70" w:rsidP="00452F70">
      <w:pPr>
        <w:pStyle w:val="Bullet"/>
        <w:numPr>
          <w:ilvl w:val="0"/>
          <w:numId w:val="11"/>
        </w:numPr>
        <w:tabs>
          <w:tab w:val="left" w:pos="567"/>
        </w:tabs>
        <w:ind w:left="567" w:hanging="567"/>
      </w:pPr>
      <w:r w:rsidRPr="00050342">
        <w:t xml:space="preserve">For award with </w:t>
      </w:r>
      <w:r w:rsidRPr="007272AE">
        <w:rPr>
          <w:b/>
          <w:bCs/>
          <w:i/>
          <w:iCs/>
        </w:rPr>
        <w:t>Excellence</w:t>
      </w:r>
      <w:r w:rsidRPr="00050342">
        <w:t xml:space="preserve"> a fully developed explanation of two concepts of democracy and government is demonstrated by:</w:t>
      </w:r>
    </w:p>
    <w:p w14:paraId="7C7B3F85" w14:textId="77777777" w:rsidR="00452F70" w:rsidRPr="00050342" w:rsidRDefault="00452F70" w:rsidP="00452F70">
      <w:pPr>
        <w:pStyle w:val="Bullet"/>
        <w:numPr>
          <w:ilvl w:val="1"/>
          <w:numId w:val="12"/>
        </w:numPr>
        <w:tabs>
          <w:tab w:val="left" w:pos="993"/>
        </w:tabs>
        <w:ind w:hanging="873"/>
      </w:pPr>
      <w:r w:rsidRPr="00050342">
        <w:t xml:space="preserve">referring to actual </w:t>
      </w:r>
      <w:proofErr w:type="gramStart"/>
      <w:r w:rsidRPr="00050342">
        <w:t>examples;</w:t>
      </w:r>
      <w:proofErr w:type="gramEnd"/>
    </w:p>
    <w:p w14:paraId="1F40BD24" w14:textId="77777777" w:rsidR="00452F70" w:rsidRPr="00050342" w:rsidRDefault="00452F70" w:rsidP="00452F70">
      <w:pPr>
        <w:pStyle w:val="Bullet"/>
        <w:numPr>
          <w:ilvl w:val="1"/>
          <w:numId w:val="12"/>
        </w:numPr>
        <w:tabs>
          <w:tab w:val="left" w:pos="993"/>
        </w:tabs>
        <w:ind w:hanging="873"/>
      </w:pPr>
      <w:r w:rsidRPr="00050342">
        <w:t xml:space="preserve">selecting and applying a range of relevant supporting </w:t>
      </w:r>
      <w:proofErr w:type="gramStart"/>
      <w:r w:rsidRPr="00050342">
        <w:t>detail;</w:t>
      </w:r>
      <w:proofErr w:type="gramEnd"/>
    </w:p>
    <w:p w14:paraId="11A4D03E" w14:textId="77777777" w:rsidR="00452F70" w:rsidRDefault="00452F70" w:rsidP="00452F70">
      <w:pPr>
        <w:pStyle w:val="Bullet"/>
        <w:numPr>
          <w:ilvl w:val="1"/>
          <w:numId w:val="12"/>
        </w:numPr>
        <w:tabs>
          <w:tab w:val="left" w:pos="993"/>
        </w:tabs>
        <w:ind w:hanging="873"/>
      </w:pPr>
      <w:r w:rsidRPr="00050342">
        <w:t>communicating clear conclusions.</w:t>
      </w:r>
    </w:p>
    <w:p w14:paraId="632A4CC0"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04761A70" w14:textId="77777777" w:rsidR="00452F70" w:rsidRDefault="00452F70" w:rsidP="00452F70">
      <w:r>
        <w:t>Assessors will set the conditions of assessment as appropriate.</w:t>
      </w:r>
    </w:p>
    <w:p w14:paraId="725BB3F2"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3F00480F" w14:textId="77777777" w:rsidR="00452F70" w:rsidRDefault="00452F70" w:rsidP="00452F70">
      <w:pPr>
        <w:rPr>
          <w:rFonts w:eastAsia="Inter" w:cs="Inter"/>
        </w:rPr>
      </w:pPr>
      <w:r w:rsidRPr="75F2CE7F">
        <w:rPr>
          <w:rFonts w:eastAsia="Inter" w:cs="Inter"/>
        </w:rPr>
        <w:t>This assessment activity has three tasks.</w:t>
      </w:r>
    </w:p>
    <w:p w14:paraId="08D932FB" w14:textId="77777777" w:rsidR="00452F70" w:rsidRDefault="00452F70" w:rsidP="00D46826">
      <w:pPr>
        <w:pStyle w:val="BodyText"/>
        <w:rPr>
          <w:rFonts w:ascii="Inter" w:eastAsia="Inter" w:hAnsi="Inter" w:cs="Inter"/>
          <w:b/>
          <w:bCs/>
        </w:rPr>
      </w:pPr>
      <w:r w:rsidRPr="75F2CE7F">
        <w:rPr>
          <w:rFonts w:ascii="Inter" w:eastAsia="Inter" w:hAnsi="Inter" w:cs="Inter"/>
          <w:b/>
        </w:rPr>
        <w:t>Task One</w:t>
      </w:r>
    </w:p>
    <w:p w14:paraId="0F857E42" w14:textId="77777777" w:rsidR="00452F70" w:rsidRDefault="00452F70" w:rsidP="00D46826">
      <w:pPr>
        <w:pStyle w:val="BodyText"/>
        <w:rPr>
          <w:rFonts w:ascii="Inter" w:eastAsia="Inter" w:hAnsi="Inter" w:cs="Inter"/>
        </w:rPr>
      </w:pPr>
      <w:r w:rsidRPr="75F2CE7F">
        <w:rPr>
          <w:rFonts w:ascii="Inter" w:eastAsia="Inter" w:hAnsi="Inter" w:cs="Inter"/>
        </w:rPr>
        <w:t>Explain the role of the Magna Carta in governing New Zealand’s democracy.</w:t>
      </w:r>
    </w:p>
    <w:p w14:paraId="0F4970DD" w14:textId="77777777" w:rsidR="00452F70" w:rsidRDefault="00452F70" w:rsidP="00D46826">
      <w:pPr>
        <w:pStyle w:val="BodyText"/>
        <w:spacing w:before="1"/>
        <w:ind w:right="1087"/>
        <w:rPr>
          <w:rFonts w:ascii="Inter" w:eastAsia="Inter" w:hAnsi="Inter" w:cs="Inter"/>
          <w:b/>
          <w:bCs/>
        </w:rPr>
      </w:pPr>
      <w:r w:rsidRPr="75F2CE7F">
        <w:rPr>
          <w:rFonts w:ascii="Inter" w:eastAsia="Inter" w:hAnsi="Inter" w:cs="Inter"/>
          <w:b/>
        </w:rPr>
        <w:t>Task Two</w:t>
      </w:r>
    </w:p>
    <w:p w14:paraId="0F7B7B52" w14:textId="77777777" w:rsidR="00452F70" w:rsidRDefault="00452F70" w:rsidP="00D46826">
      <w:pPr>
        <w:pStyle w:val="BodyText"/>
        <w:spacing w:before="1"/>
        <w:ind w:right="1087"/>
        <w:rPr>
          <w:rFonts w:ascii="Inter" w:eastAsia="Inter" w:hAnsi="Inter" w:cs="Inter"/>
        </w:rPr>
      </w:pPr>
      <w:r w:rsidRPr="75F2CE7F">
        <w:rPr>
          <w:rFonts w:ascii="Inter" w:eastAsia="Inter" w:hAnsi="Inter" w:cs="Inter"/>
        </w:rPr>
        <w:t xml:space="preserve">Explain the importance of the </w:t>
      </w:r>
      <w:proofErr w:type="spellStart"/>
      <w:r w:rsidRPr="75F2CE7F">
        <w:rPr>
          <w:rFonts w:ascii="Inter" w:eastAsia="Inter" w:hAnsi="Inter" w:cs="Inter"/>
        </w:rPr>
        <w:t>te</w:t>
      </w:r>
      <w:proofErr w:type="spellEnd"/>
      <w:r w:rsidRPr="75F2CE7F">
        <w:rPr>
          <w:rFonts w:ascii="Inter" w:eastAsia="Inter" w:hAnsi="Inter" w:cs="Inter"/>
        </w:rPr>
        <w:t xml:space="preserve"> </w:t>
      </w:r>
      <w:proofErr w:type="spellStart"/>
      <w:r w:rsidRPr="75F2CE7F">
        <w:rPr>
          <w:rFonts w:ascii="Inter" w:eastAsia="Inter" w:hAnsi="Inter" w:cs="Inter"/>
        </w:rPr>
        <w:t>Tiriti</w:t>
      </w:r>
      <w:proofErr w:type="spellEnd"/>
      <w:r w:rsidRPr="75F2CE7F">
        <w:rPr>
          <w:rFonts w:ascii="Inter" w:eastAsia="Inter" w:hAnsi="Inter" w:cs="Inter"/>
        </w:rPr>
        <w:t xml:space="preserve"> of Waitangi in terms of the governance of New Zealand.</w:t>
      </w:r>
    </w:p>
    <w:p w14:paraId="0F36B2A3" w14:textId="77777777" w:rsidR="00452F70" w:rsidRDefault="00452F70" w:rsidP="00D46826">
      <w:pPr>
        <w:pStyle w:val="BodyText"/>
        <w:rPr>
          <w:rFonts w:ascii="Inter" w:eastAsia="Inter" w:hAnsi="Inter" w:cs="Inter"/>
          <w:b/>
          <w:bCs/>
        </w:rPr>
      </w:pPr>
      <w:r w:rsidRPr="75F2CE7F">
        <w:rPr>
          <w:rFonts w:ascii="Inter" w:eastAsia="Inter" w:hAnsi="Inter" w:cs="Inter"/>
          <w:b/>
        </w:rPr>
        <w:t>Task Three</w:t>
      </w:r>
    </w:p>
    <w:p w14:paraId="406FD362" w14:textId="0E1ED33E" w:rsidR="00452F70" w:rsidRDefault="00452F70" w:rsidP="00D46826">
      <w:pPr>
        <w:pStyle w:val="BodyText"/>
      </w:pPr>
      <w:r w:rsidRPr="00E83F8F">
        <w:rPr>
          <w:rFonts w:ascii="Inter" w:eastAsia="Inter" w:hAnsi="Inter" w:cs="Inter"/>
        </w:rPr>
        <w:t>Explain parliamentary sovereignty as an aspect of governance</w:t>
      </w:r>
      <w:r w:rsidRPr="00E83F8F">
        <w:t>.</w:t>
      </w:r>
    </w:p>
    <w:p w14:paraId="548942FD" w14:textId="77777777" w:rsidR="003F73CB" w:rsidRPr="003E2601" w:rsidRDefault="003F73CB" w:rsidP="003E2601">
      <w:pPr>
        <w:pStyle w:val="Heading1"/>
        <w:rPr>
          <w:b/>
          <w:bCs/>
          <w:color w:val="005A69"/>
          <w:sz w:val="28"/>
          <w:szCs w:val="28"/>
        </w:rPr>
      </w:pPr>
      <w:r w:rsidRPr="003E2601">
        <w:rPr>
          <w:b/>
          <w:bCs/>
          <w:color w:val="005A69"/>
          <w:sz w:val="28"/>
          <w:szCs w:val="28"/>
        </w:rPr>
        <w:lastRenderedPageBreak/>
        <w:t>Resource requirements</w:t>
      </w:r>
    </w:p>
    <w:p w14:paraId="2724A18D" w14:textId="77777777" w:rsidR="00452F70" w:rsidRDefault="00452F70" w:rsidP="00452F70">
      <w:r>
        <w:t>Assessors may find the following resources useful in gathering information on the concepts of democracy and government which are exp</w:t>
      </w:r>
      <w:r w:rsidRPr="00A522E8">
        <w:t>l</w:t>
      </w:r>
      <w:r>
        <w:t>ored in this assessment.</w:t>
      </w:r>
    </w:p>
    <w:p w14:paraId="4B09D8CB" w14:textId="77777777" w:rsidR="00452F70" w:rsidRPr="00F67967" w:rsidRDefault="00452F70" w:rsidP="00452F70">
      <w:pPr>
        <w:pStyle w:val="Heading2"/>
        <w:rPr>
          <w:rFonts w:ascii="Inter" w:eastAsia="Inter" w:hAnsi="Inter" w:cs="Inter"/>
          <w:sz w:val="22"/>
          <w:szCs w:val="22"/>
        </w:rPr>
      </w:pPr>
      <w:hyperlink r:id="rId13">
        <w:r w:rsidRPr="0E3EF146">
          <w:rPr>
            <w:rStyle w:val="Hyperlink"/>
            <w:rFonts w:ascii="Inter" w:eastAsia="Inter" w:hAnsi="Inter" w:cs="Inter"/>
            <w:sz w:val="22"/>
            <w:szCs w:val="22"/>
          </w:rPr>
          <w:t>https://www.parliament.nz/en</w:t>
        </w:r>
      </w:hyperlink>
    </w:p>
    <w:p w14:paraId="7B1948C0" w14:textId="77777777"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30480F46" w14:textId="77777777" w:rsidR="00452F70" w:rsidRDefault="00452F70" w:rsidP="00452F70">
      <w:r>
        <w:t xml:space="preserve">Teaching and learning guidelines that inform legal studies as it is taught in New Zealand can be found at </w:t>
      </w:r>
      <w:hyperlink r:id="rId14">
        <w:r w:rsidRPr="7A69F6F7">
          <w:rPr>
            <w:rStyle w:val="Hyperlink"/>
          </w:rPr>
          <w:t>https://seniorsecondary.tki.org.nz/Social-sciences/Legal-studies</w:t>
        </w:r>
      </w:hyperlink>
    </w:p>
    <w:p w14:paraId="37834575" w14:textId="77777777" w:rsidR="001D1125" w:rsidRPr="00D0053D" w:rsidRDefault="001D1125" w:rsidP="00D0053D">
      <w:pPr>
        <w:pStyle w:val="ASMItalics"/>
        <w:sectPr w:rsidR="001D1125" w:rsidRPr="00D0053D" w:rsidSect="007E7E7D">
          <w:footerReference w:type="even" r:id="rId15"/>
          <w:footerReference w:type="default" r:id="rId16"/>
          <w:headerReference w:type="first" r:id="rId17"/>
          <w:footerReference w:type="first" r:id="rId18"/>
          <w:pgSz w:w="11906" w:h="16838"/>
          <w:pgMar w:top="1440" w:right="1440" w:bottom="1440" w:left="1440" w:header="1984" w:footer="709" w:gutter="0"/>
          <w:cols w:space="708"/>
          <w:titlePg/>
          <w:docGrid w:linePitch="360"/>
        </w:sectPr>
      </w:pPr>
    </w:p>
    <w:p w14:paraId="420C6CF9"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73B99B15" w14:textId="77777777" w:rsidTr="00C733E4">
        <w:trPr>
          <w:trHeight w:val="541"/>
        </w:trPr>
        <w:tc>
          <w:tcPr>
            <w:tcW w:w="2681" w:type="dxa"/>
            <w:tcBorders>
              <w:right w:val="single" w:sz="4" w:space="0" w:color="auto"/>
            </w:tcBorders>
            <w:shd w:val="clear" w:color="auto" w:fill="F2F2F2" w:themeFill="background1" w:themeFillShade="F2"/>
            <w:vAlign w:val="center"/>
          </w:tcPr>
          <w:p w14:paraId="71BD73A1"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0C09EC44" w14:textId="57FF4405" w:rsidR="003F2386" w:rsidRPr="005C77DB" w:rsidRDefault="00452F70" w:rsidP="000D22C4">
            <w:pPr>
              <w:rPr>
                <w:rFonts w:asciiTheme="minorHAnsi" w:hAnsiTheme="minorHAnsi"/>
              </w:rPr>
            </w:pPr>
            <w:r w:rsidRPr="75F2CE7F">
              <w:rPr>
                <w:rFonts w:eastAsia="Inter" w:cs="Inter"/>
              </w:rPr>
              <w:t>27836</w:t>
            </w:r>
          </w:p>
        </w:tc>
      </w:tr>
      <w:tr w:rsidR="003F73CB" w14:paraId="6B9BBE73" w14:textId="77777777" w:rsidTr="00C733E4">
        <w:trPr>
          <w:trHeight w:val="421"/>
        </w:trPr>
        <w:tc>
          <w:tcPr>
            <w:tcW w:w="2681" w:type="dxa"/>
            <w:shd w:val="clear" w:color="auto" w:fill="F2F2F2" w:themeFill="background1" w:themeFillShade="F2"/>
            <w:vAlign w:val="center"/>
          </w:tcPr>
          <w:p w14:paraId="327F5F2E" w14:textId="77777777" w:rsidR="003F73CB" w:rsidRPr="002030CB" w:rsidRDefault="003F73CB" w:rsidP="000D22C4">
            <w:pPr>
              <w:pStyle w:val="TableBold"/>
              <w:rPr>
                <w:rStyle w:val="Strong"/>
              </w:rPr>
            </w:pPr>
            <w:r w:rsidRPr="002030CB">
              <w:rPr>
                <w:rStyle w:val="Strong"/>
              </w:rPr>
              <w:t>Title</w:t>
            </w:r>
          </w:p>
        </w:tc>
        <w:tc>
          <w:tcPr>
            <w:tcW w:w="11211" w:type="dxa"/>
            <w:gridSpan w:val="5"/>
            <w:shd w:val="clear" w:color="auto" w:fill="auto"/>
            <w:vAlign w:val="center"/>
          </w:tcPr>
          <w:p w14:paraId="5B732693" w14:textId="09F039CB" w:rsidR="003F73CB" w:rsidRPr="00235FFE" w:rsidRDefault="00452F70" w:rsidP="00644755">
            <w:r>
              <w:t>Explain concepts of democracy and government in a New Zealand context</w:t>
            </w:r>
          </w:p>
        </w:tc>
      </w:tr>
      <w:tr w:rsidR="003F2386" w14:paraId="139E11CB" w14:textId="77777777" w:rsidTr="00644755">
        <w:trPr>
          <w:trHeight w:val="413"/>
        </w:trPr>
        <w:tc>
          <w:tcPr>
            <w:tcW w:w="2681" w:type="dxa"/>
            <w:shd w:val="clear" w:color="auto" w:fill="F2F2F2" w:themeFill="background1" w:themeFillShade="F2"/>
            <w:vAlign w:val="center"/>
          </w:tcPr>
          <w:p w14:paraId="50E634F1" w14:textId="77777777" w:rsidR="003F2386" w:rsidRPr="002030CB" w:rsidRDefault="003F2386" w:rsidP="000D22C4">
            <w:pPr>
              <w:pStyle w:val="TableBold"/>
              <w:rPr>
                <w:rStyle w:val="Strong"/>
              </w:rPr>
            </w:pPr>
            <w:r w:rsidRPr="002030CB">
              <w:rPr>
                <w:rStyle w:val="Strong"/>
              </w:rPr>
              <w:t>Level</w:t>
            </w:r>
          </w:p>
        </w:tc>
        <w:tc>
          <w:tcPr>
            <w:tcW w:w="2484" w:type="dxa"/>
            <w:vAlign w:val="center"/>
          </w:tcPr>
          <w:p w14:paraId="2A89E26F" w14:textId="00BA3E3D" w:rsidR="003F2386" w:rsidRPr="00235FFE" w:rsidRDefault="00452F70" w:rsidP="00644755">
            <w:r>
              <w:t>2</w:t>
            </w:r>
          </w:p>
        </w:tc>
        <w:tc>
          <w:tcPr>
            <w:tcW w:w="2484" w:type="dxa"/>
            <w:shd w:val="clear" w:color="auto" w:fill="F2F2F2" w:themeFill="background1" w:themeFillShade="F2"/>
            <w:vAlign w:val="center"/>
          </w:tcPr>
          <w:p w14:paraId="06C090D9" w14:textId="77777777" w:rsidR="003F2386" w:rsidRPr="003B309B" w:rsidRDefault="003F2386" w:rsidP="000D22C4">
            <w:pPr>
              <w:pStyle w:val="TableBold"/>
              <w:rPr>
                <w:rStyle w:val="Strong"/>
              </w:rPr>
            </w:pPr>
            <w:r w:rsidRPr="003B309B">
              <w:rPr>
                <w:rStyle w:val="Strong"/>
              </w:rPr>
              <w:t>Credits</w:t>
            </w:r>
          </w:p>
        </w:tc>
        <w:tc>
          <w:tcPr>
            <w:tcW w:w="2484" w:type="dxa"/>
            <w:vAlign w:val="center"/>
          </w:tcPr>
          <w:p w14:paraId="2481841D" w14:textId="02C895DC" w:rsidR="003F2386" w:rsidRPr="00235FFE" w:rsidRDefault="00452F70" w:rsidP="00644755">
            <w:r>
              <w:t>4</w:t>
            </w:r>
          </w:p>
        </w:tc>
        <w:tc>
          <w:tcPr>
            <w:tcW w:w="2484" w:type="dxa"/>
            <w:shd w:val="clear" w:color="auto" w:fill="F2F2F2" w:themeFill="background1" w:themeFillShade="F2"/>
            <w:vAlign w:val="center"/>
          </w:tcPr>
          <w:p w14:paraId="17B6179E" w14:textId="77777777" w:rsidR="003F2386" w:rsidRPr="000D22C4" w:rsidRDefault="003F2386" w:rsidP="000D22C4">
            <w:pPr>
              <w:pStyle w:val="TableBold"/>
              <w:rPr>
                <w:rStyle w:val="Strong"/>
              </w:rPr>
            </w:pPr>
            <w:r w:rsidRPr="000D22C4">
              <w:rPr>
                <w:rStyle w:val="Strong"/>
              </w:rPr>
              <w:t>Version</w:t>
            </w:r>
          </w:p>
        </w:tc>
        <w:tc>
          <w:tcPr>
            <w:tcW w:w="1275" w:type="dxa"/>
            <w:vAlign w:val="center"/>
          </w:tcPr>
          <w:p w14:paraId="3FB4BC06" w14:textId="31F0A00C" w:rsidR="003F2386" w:rsidRPr="00235FFE" w:rsidRDefault="00452F70" w:rsidP="00644755">
            <w:r>
              <w:t>3</w:t>
            </w:r>
          </w:p>
        </w:tc>
      </w:tr>
    </w:tbl>
    <w:p w14:paraId="321D4388" w14:textId="77777777" w:rsidR="003F2386" w:rsidRDefault="003F2386" w:rsidP="00212C53"/>
    <w:p w14:paraId="27B48762"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3FDD10A1" w14:textId="77777777" w:rsidTr="00DD30BE">
        <w:tc>
          <w:tcPr>
            <w:tcW w:w="1664" w:type="pct"/>
            <w:tcBorders>
              <w:bottom w:val="single" w:sz="4" w:space="0" w:color="auto"/>
            </w:tcBorders>
            <w:shd w:val="clear" w:color="auto" w:fill="F2F2F2" w:themeFill="background1" w:themeFillShade="F2"/>
            <w:vAlign w:val="center"/>
          </w:tcPr>
          <w:p w14:paraId="53BA7F4F"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34B2E932"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4EA8E16E"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AA7709" w14:paraId="6E48BD5C" w14:textId="77777777" w:rsidTr="0005677A">
        <w:tc>
          <w:tcPr>
            <w:tcW w:w="1664" w:type="pct"/>
            <w:tcBorders>
              <w:top w:val="single" w:sz="4" w:space="0" w:color="auto"/>
              <w:left w:val="single" w:sz="4" w:space="0" w:color="auto"/>
              <w:bottom w:val="single" w:sz="4" w:space="0" w:color="auto"/>
              <w:right w:val="single" w:sz="4" w:space="0" w:color="auto"/>
            </w:tcBorders>
          </w:tcPr>
          <w:p w14:paraId="52D4E8F8" w14:textId="77777777" w:rsidR="00AA7709" w:rsidRDefault="00AA7709" w:rsidP="00756588">
            <w:pPr>
              <w:pStyle w:val="TableParagraph"/>
              <w:ind w:left="110" w:right="238"/>
              <w:rPr>
                <w:rFonts w:ascii="Inter" w:eastAsia="Inter" w:hAnsi="Inter" w:cs="Inter"/>
              </w:rPr>
            </w:pPr>
            <w:r w:rsidRPr="00756588">
              <w:rPr>
                <w:rFonts w:ascii="Inter" w:eastAsia="Inter" w:hAnsi="Inter" w:cs="Inter"/>
              </w:rPr>
              <w:t>Concepts of democracy and government explained, with actual example(s), in relation to aspects of governance.</w:t>
            </w:r>
          </w:p>
          <w:p w14:paraId="4CFA48C9" w14:textId="77777777" w:rsidR="00AA7709" w:rsidRDefault="00AA7709" w:rsidP="00AA7709">
            <w:pPr>
              <w:pStyle w:val="TableParagraph"/>
              <w:ind w:left="110" w:right="136"/>
              <w:rPr>
                <w:rFonts w:ascii="Inter" w:eastAsia="Inter" w:hAnsi="Inter" w:cs="Inter"/>
              </w:rPr>
            </w:pPr>
            <w:r w:rsidRPr="75F2CE7F">
              <w:rPr>
                <w:rFonts w:ascii="Inter" w:eastAsia="Inter" w:hAnsi="Inter" w:cs="Inter"/>
              </w:rPr>
              <w:t>Concepts of democracy and government may include but are not limited to – rule of law, separation of powers, liberal democracy, rights and their limitations, constitutional sovereignty.</w:t>
            </w:r>
          </w:p>
          <w:p w14:paraId="38C726EE" w14:textId="77777777" w:rsidR="00AA7709" w:rsidRDefault="00AA7709" w:rsidP="00AA7709">
            <w:pPr>
              <w:pStyle w:val="TableParagraph"/>
              <w:ind w:left="110" w:right="136"/>
              <w:rPr>
                <w:rFonts w:ascii="Inter" w:eastAsia="Inter" w:hAnsi="Inter" w:cs="Inter"/>
              </w:rPr>
            </w:pPr>
            <w:r w:rsidRPr="75F2CE7F">
              <w:rPr>
                <w:rFonts w:ascii="Inter" w:eastAsia="Inter" w:hAnsi="Inter" w:cs="Inter"/>
              </w:rPr>
              <w:t xml:space="preserve">Aspects of governance may include but are not limited to – Magna Carta and limits on the power of the monarch, </w:t>
            </w:r>
            <w:r w:rsidRPr="75F2CE7F">
              <w:rPr>
                <w:rFonts w:ascii="Inter" w:eastAsia="Inter" w:hAnsi="Inter" w:cs="Inter"/>
              </w:rPr>
              <w:lastRenderedPageBreak/>
              <w:t xml:space="preserve">relationship between </w:t>
            </w:r>
            <w:proofErr w:type="spellStart"/>
            <w:r w:rsidRPr="75F2CE7F">
              <w:rPr>
                <w:rFonts w:ascii="Inter" w:eastAsia="Inter" w:hAnsi="Inter" w:cs="Inter"/>
              </w:rPr>
              <w:t>tangata</w:t>
            </w:r>
            <w:proofErr w:type="spellEnd"/>
            <w:r w:rsidRPr="75F2CE7F">
              <w:rPr>
                <w:rFonts w:ascii="Inter" w:eastAsia="Inter" w:hAnsi="Inter" w:cs="Inter"/>
              </w:rPr>
              <w:t xml:space="preserve"> whenua and the Crown </w:t>
            </w:r>
            <w:proofErr w:type="gramStart"/>
            <w:r w:rsidRPr="75F2CE7F">
              <w:rPr>
                <w:rFonts w:ascii="Inter" w:eastAsia="Inter" w:hAnsi="Inter" w:cs="Inter"/>
              </w:rPr>
              <w:t>with regard to</w:t>
            </w:r>
            <w:proofErr w:type="gramEnd"/>
            <w:r w:rsidRPr="75F2CE7F">
              <w:rPr>
                <w:rFonts w:ascii="Inter" w:eastAsia="Inter" w:hAnsi="Inter" w:cs="Inter"/>
              </w:rPr>
              <w:t xml:space="preserve"> the </w:t>
            </w:r>
            <w:proofErr w:type="spellStart"/>
            <w:r w:rsidRPr="75F2CE7F">
              <w:rPr>
                <w:rFonts w:ascii="Inter" w:eastAsia="Inter" w:hAnsi="Inter" w:cs="Inter"/>
              </w:rPr>
              <w:t>te</w:t>
            </w:r>
            <w:proofErr w:type="spellEnd"/>
            <w:r w:rsidRPr="75F2CE7F">
              <w:rPr>
                <w:rFonts w:ascii="Inter" w:eastAsia="Inter" w:hAnsi="Inter" w:cs="Inter"/>
              </w:rPr>
              <w:t xml:space="preserve"> </w:t>
            </w:r>
            <w:proofErr w:type="spellStart"/>
            <w:r w:rsidRPr="75F2CE7F">
              <w:rPr>
                <w:rFonts w:ascii="Inter" w:eastAsia="Inter" w:hAnsi="Inter" w:cs="Inter"/>
              </w:rPr>
              <w:t>Tiriti</w:t>
            </w:r>
            <w:proofErr w:type="spellEnd"/>
            <w:r w:rsidRPr="75F2CE7F">
              <w:rPr>
                <w:rFonts w:ascii="Inter" w:eastAsia="Inter" w:hAnsi="Inter" w:cs="Inter"/>
              </w:rPr>
              <w:t xml:space="preserve"> o </w:t>
            </w:r>
            <w:proofErr w:type="spellStart"/>
            <w:r w:rsidRPr="75F2CE7F">
              <w:rPr>
                <w:rFonts w:ascii="Inter" w:eastAsia="Inter" w:hAnsi="Inter" w:cs="Inter"/>
              </w:rPr>
              <w:t>Waitiangi</w:t>
            </w:r>
            <w:proofErr w:type="spellEnd"/>
            <w:r w:rsidRPr="75F2CE7F">
              <w:rPr>
                <w:rFonts w:ascii="Inter" w:eastAsia="Inter" w:hAnsi="Inter" w:cs="Inter"/>
              </w:rPr>
              <w:t>, parliamentary sovereignty and statute as highest form of law, absence of a fully written constitution, role of the courts, delegated legislation.</w:t>
            </w:r>
          </w:p>
          <w:p w14:paraId="1ED3B7E6" w14:textId="4B2D3F1E" w:rsidR="00AA7709" w:rsidRPr="003F73CB" w:rsidRDefault="00AA7709" w:rsidP="00756588">
            <w:pPr>
              <w:pStyle w:val="TableParagraph"/>
              <w:ind w:left="110" w:right="136"/>
            </w:pPr>
            <w:r w:rsidRPr="00756588">
              <w:rPr>
                <w:rFonts w:ascii="Inter" w:eastAsia="Inter" w:hAnsi="Inter" w:cs="Inter"/>
              </w:rPr>
              <w:t>Actual example(s) refer(s) to actual events from New Zealand or overseas, past or present.</w:t>
            </w:r>
          </w:p>
        </w:tc>
        <w:tc>
          <w:tcPr>
            <w:tcW w:w="1669" w:type="pct"/>
            <w:tcBorders>
              <w:top w:val="single" w:sz="4" w:space="0" w:color="auto"/>
              <w:left w:val="single" w:sz="4" w:space="0" w:color="auto"/>
              <w:bottom w:val="single" w:sz="4" w:space="0" w:color="auto"/>
              <w:right w:val="single" w:sz="4" w:space="0" w:color="auto"/>
            </w:tcBorders>
          </w:tcPr>
          <w:p w14:paraId="41752FBB" w14:textId="77777777" w:rsidR="00AA7709" w:rsidRDefault="00AA7709" w:rsidP="00AA7709">
            <w:r>
              <w:lastRenderedPageBreak/>
              <w:t>For award with Merit, the explanation of two concepts of democracy and government is demonstrated by selecting and applying actual example(s) and applying relevant supporting detail that may include but is not limited to any one of:</w:t>
            </w:r>
          </w:p>
          <w:p w14:paraId="47B4FE76" w14:textId="77777777" w:rsidR="00AA7709" w:rsidRDefault="00AA7709" w:rsidP="00AA7709">
            <w:pPr>
              <w:pStyle w:val="ListParagraph"/>
              <w:numPr>
                <w:ilvl w:val="0"/>
                <w:numId w:val="13"/>
              </w:numPr>
              <w:tabs>
                <w:tab w:val="left" w:pos="377"/>
              </w:tabs>
              <w:ind w:left="377" w:hanging="377"/>
              <w:contextualSpacing w:val="0"/>
            </w:pPr>
            <w:r>
              <w:t xml:space="preserve">case </w:t>
            </w:r>
            <w:proofErr w:type="gramStart"/>
            <w:r>
              <w:t>studies;</w:t>
            </w:r>
            <w:proofErr w:type="gramEnd"/>
          </w:p>
          <w:p w14:paraId="0F4D5193" w14:textId="77777777" w:rsidR="00756588" w:rsidRDefault="00AA7709" w:rsidP="00756588">
            <w:pPr>
              <w:pStyle w:val="ListParagraph"/>
              <w:numPr>
                <w:ilvl w:val="0"/>
                <w:numId w:val="13"/>
              </w:numPr>
              <w:tabs>
                <w:tab w:val="left" w:pos="377"/>
              </w:tabs>
              <w:ind w:left="377" w:hanging="377"/>
              <w:contextualSpacing w:val="0"/>
            </w:pPr>
            <w:proofErr w:type="gramStart"/>
            <w:r>
              <w:t>statistics;</w:t>
            </w:r>
            <w:proofErr w:type="gramEnd"/>
          </w:p>
          <w:p w14:paraId="3B42AA01" w14:textId="43E04F41" w:rsidR="00AA7709" w:rsidRPr="003F73CB" w:rsidRDefault="00AA7709" w:rsidP="00756588">
            <w:pPr>
              <w:pStyle w:val="ListParagraph"/>
              <w:numPr>
                <w:ilvl w:val="0"/>
                <w:numId w:val="13"/>
              </w:numPr>
              <w:tabs>
                <w:tab w:val="left" w:pos="377"/>
              </w:tabs>
              <w:ind w:left="377" w:hanging="377"/>
              <w:contextualSpacing w:val="0"/>
            </w:pPr>
            <w:r w:rsidRPr="00E83F8F">
              <w:t>news media reports.</w:t>
            </w:r>
          </w:p>
        </w:tc>
        <w:tc>
          <w:tcPr>
            <w:tcW w:w="1667" w:type="pct"/>
            <w:tcBorders>
              <w:top w:val="single" w:sz="4" w:space="0" w:color="auto"/>
              <w:left w:val="single" w:sz="4" w:space="0" w:color="auto"/>
              <w:bottom w:val="single" w:sz="4" w:space="0" w:color="auto"/>
              <w:right w:val="single" w:sz="4" w:space="0" w:color="auto"/>
            </w:tcBorders>
          </w:tcPr>
          <w:p w14:paraId="0EBDEAE5" w14:textId="77777777" w:rsidR="00AA7709" w:rsidRDefault="00AA7709" w:rsidP="00AA7709">
            <w:r>
              <w:t>The explanation of two concepts of democracy and government is fully developed by:</w:t>
            </w:r>
          </w:p>
          <w:p w14:paraId="26E91CB3" w14:textId="77777777" w:rsidR="00AA7709" w:rsidRDefault="00AA7709" w:rsidP="00AA7709">
            <w:pPr>
              <w:pStyle w:val="ListParagraph"/>
              <w:numPr>
                <w:ilvl w:val="0"/>
                <w:numId w:val="13"/>
              </w:numPr>
              <w:tabs>
                <w:tab w:val="left" w:pos="377"/>
              </w:tabs>
              <w:ind w:left="377" w:hanging="377"/>
              <w:contextualSpacing w:val="0"/>
            </w:pPr>
            <w:r>
              <w:t xml:space="preserve">referring to actual </w:t>
            </w:r>
            <w:proofErr w:type="gramStart"/>
            <w:r>
              <w:t>examples;</w:t>
            </w:r>
            <w:proofErr w:type="gramEnd"/>
          </w:p>
          <w:p w14:paraId="0BC81322" w14:textId="77777777" w:rsidR="00756588" w:rsidRDefault="00AA7709" w:rsidP="00756588">
            <w:pPr>
              <w:pStyle w:val="ListParagraph"/>
              <w:numPr>
                <w:ilvl w:val="0"/>
                <w:numId w:val="13"/>
              </w:numPr>
              <w:tabs>
                <w:tab w:val="left" w:pos="377"/>
              </w:tabs>
              <w:ind w:left="377" w:hanging="377"/>
              <w:contextualSpacing w:val="0"/>
            </w:pPr>
            <w:r>
              <w:t xml:space="preserve">selecting and applying a range of relevant supporting </w:t>
            </w:r>
            <w:proofErr w:type="gramStart"/>
            <w:r>
              <w:t>detail;</w:t>
            </w:r>
            <w:proofErr w:type="gramEnd"/>
          </w:p>
          <w:p w14:paraId="0780ABBA" w14:textId="2628F191" w:rsidR="00AA7709" w:rsidRDefault="00AA7709" w:rsidP="00756588">
            <w:pPr>
              <w:pStyle w:val="ListParagraph"/>
              <w:numPr>
                <w:ilvl w:val="0"/>
                <w:numId w:val="13"/>
              </w:numPr>
              <w:tabs>
                <w:tab w:val="left" w:pos="377"/>
              </w:tabs>
              <w:ind w:left="377" w:hanging="377"/>
              <w:contextualSpacing w:val="0"/>
            </w:pPr>
            <w:r w:rsidRPr="00E83F8F">
              <w:t>communicating clear conclusions.</w:t>
            </w:r>
          </w:p>
        </w:tc>
      </w:tr>
    </w:tbl>
    <w:p w14:paraId="77955480" w14:textId="77777777" w:rsidR="003F73CB" w:rsidRPr="00C752B0" w:rsidRDefault="003F73CB" w:rsidP="00DD30BE"/>
    <w:p w14:paraId="36D7A9DD" w14:textId="77777777" w:rsidR="00DF277B" w:rsidRDefault="00DF277B" w:rsidP="00C733E4">
      <w:pPr>
        <w:pStyle w:val="Heading1"/>
        <w:sectPr w:rsidR="00DF277B" w:rsidSect="007E7E7D">
          <w:headerReference w:type="default" r:id="rId19"/>
          <w:headerReference w:type="first" r:id="rId20"/>
          <w:footerReference w:type="first" r:id="rId21"/>
          <w:pgSz w:w="16838" w:h="11906" w:orient="landscape"/>
          <w:pgMar w:top="1440" w:right="1440" w:bottom="1440" w:left="1440" w:header="1990" w:footer="709" w:gutter="0"/>
          <w:cols w:space="708"/>
          <w:titlePg/>
          <w:docGrid w:linePitch="360"/>
        </w:sectPr>
      </w:pPr>
    </w:p>
    <w:tbl>
      <w:tblPr>
        <w:tblStyle w:val="TableGrid"/>
        <w:tblW w:w="5000" w:type="pct"/>
        <w:tblLook w:val="04A0" w:firstRow="1" w:lastRow="0" w:firstColumn="1" w:lastColumn="0" w:noHBand="0" w:noVBand="1"/>
      </w:tblPr>
      <w:tblGrid>
        <w:gridCol w:w="1480"/>
        <w:gridCol w:w="4157"/>
        <w:gridCol w:w="4157"/>
        <w:gridCol w:w="4154"/>
      </w:tblGrid>
      <w:tr w:rsidR="003223DF" w14:paraId="387797FF" w14:textId="77777777" w:rsidTr="0089614C">
        <w:trPr>
          <w:tblHeader/>
        </w:trPr>
        <w:tc>
          <w:tcPr>
            <w:tcW w:w="531" w:type="pct"/>
            <w:tcBorders>
              <w:bottom w:val="single" w:sz="4" w:space="0" w:color="auto"/>
            </w:tcBorders>
            <w:shd w:val="clear" w:color="auto" w:fill="F2F2F2" w:themeFill="background1" w:themeFillShade="F2"/>
            <w:vAlign w:val="center"/>
          </w:tcPr>
          <w:p w14:paraId="07054375" w14:textId="259D5F17" w:rsidR="003223DF" w:rsidRPr="00180FFE" w:rsidRDefault="003223DF" w:rsidP="0089614C">
            <w:pPr>
              <w:pStyle w:val="criteriatableheading"/>
              <w:rPr>
                <w:rStyle w:val="Strong"/>
                <w:b/>
                <w:bCs w:val="0"/>
              </w:rPr>
            </w:pPr>
            <w:r w:rsidRPr="00180FFE">
              <w:rPr>
                <w:rStyle w:val="Strong"/>
                <w:b/>
                <w:bCs w:val="0"/>
              </w:rPr>
              <w:lastRenderedPageBreak/>
              <w:t>Task</w:t>
            </w:r>
          </w:p>
        </w:tc>
        <w:tc>
          <w:tcPr>
            <w:tcW w:w="1490" w:type="pct"/>
            <w:tcBorders>
              <w:bottom w:val="single" w:sz="4" w:space="0" w:color="auto"/>
            </w:tcBorders>
            <w:shd w:val="clear" w:color="auto" w:fill="F2F2F2" w:themeFill="background1" w:themeFillShade="F2"/>
            <w:vAlign w:val="center"/>
          </w:tcPr>
          <w:p w14:paraId="6FF98351" w14:textId="77777777" w:rsidR="003223DF" w:rsidRPr="00180FFE" w:rsidRDefault="003223DF" w:rsidP="0089614C">
            <w:pPr>
              <w:pStyle w:val="criteriatableheading"/>
              <w:rPr>
                <w:rStyle w:val="Strong"/>
                <w:b/>
                <w:bCs w:val="0"/>
              </w:rPr>
            </w:pPr>
            <w:r w:rsidRPr="00180FFE">
              <w:rPr>
                <w:rStyle w:val="Strong"/>
                <w:b/>
                <w:bCs w:val="0"/>
              </w:rPr>
              <w:t>Achievement</w:t>
            </w:r>
          </w:p>
        </w:tc>
        <w:tc>
          <w:tcPr>
            <w:tcW w:w="1490" w:type="pct"/>
            <w:tcBorders>
              <w:bottom w:val="single" w:sz="4" w:space="0" w:color="auto"/>
            </w:tcBorders>
            <w:shd w:val="clear" w:color="auto" w:fill="F2F2F2" w:themeFill="background1" w:themeFillShade="F2"/>
            <w:vAlign w:val="center"/>
          </w:tcPr>
          <w:p w14:paraId="522FB3E2" w14:textId="77777777" w:rsidR="003223DF" w:rsidRPr="00180FFE" w:rsidRDefault="003223DF" w:rsidP="0089614C">
            <w:pPr>
              <w:pStyle w:val="criteriatableheading"/>
              <w:rPr>
                <w:rStyle w:val="Strong"/>
                <w:b/>
                <w:bCs w:val="0"/>
              </w:rPr>
            </w:pPr>
            <w:r w:rsidRPr="00180FFE">
              <w:rPr>
                <w:rStyle w:val="Strong"/>
                <w:b/>
                <w:bCs w:val="0"/>
              </w:rPr>
              <w:t>Achievement with Merit</w:t>
            </w:r>
          </w:p>
        </w:tc>
        <w:tc>
          <w:tcPr>
            <w:tcW w:w="1489" w:type="pct"/>
            <w:tcBorders>
              <w:bottom w:val="single" w:sz="4" w:space="0" w:color="auto"/>
            </w:tcBorders>
            <w:shd w:val="clear" w:color="auto" w:fill="F2F2F2" w:themeFill="background1" w:themeFillShade="F2"/>
            <w:vAlign w:val="center"/>
          </w:tcPr>
          <w:p w14:paraId="0B14CFE1" w14:textId="77777777" w:rsidR="003223DF" w:rsidRPr="00180FFE" w:rsidRDefault="003223DF" w:rsidP="0089614C">
            <w:pPr>
              <w:pStyle w:val="criteriatableheading"/>
              <w:rPr>
                <w:rStyle w:val="Strong"/>
                <w:b/>
                <w:bCs w:val="0"/>
              </w:rPr>
            </w:pPr>
            <w:r w:rsidRPr="00180FFE">
              <w:rPr>
                <w:rStyle w:val="Strong"/>
                <w:b/>
                <w:bCs w:val="0"/>
              </w:rPr>
              <w:t>Achievement with Excellence</w:t>
            </w:r>
          </w:p>
        </w:tc>
      </w:tr>
      <w:tr w:rsidR="003223DF" w14:paraId="2E778850" w14:textId="77777777" w:rsidTr="0089614C">
        <w:trPr>
          <w:cantSplit/>
        </w:trPr>
        <w:tc>
          <w:tcPr>
            <w:tcW w:w="531" w:type="pct"/>
            <w:tcBorders>
              <w:top w:val="single" w:sz="4" w:space="0" w:color="auto"/>
              <w:left w:val="single" w:sz="4" w:space="0" w:color="auto"/>
              <w:bottom w:val="single" w:sz="4" w:space="0" w:color="auto"/>
              <w:right w:val="single" w:sz="4" w:space="0" w:color="auto"/>
            </w:tcBorders>
          </w:tcPr>
          <w:p w14:paraId="5F0EE063" w14:textId="77777777" w:rsidR="003223DF" w:rsidRDefault="003223DF" w:rsidP="0089614C">
            <w:pPr>
              <w:pStyle w:val="criteriatableheading"/>
            </w:pPr>
            <w:r w:rsidRPr="00C81F3C">
              <w:t>ONE</w:t>
            </w:r>
          </w:p>
          <w:p w14:paraId="58C30C22" w14:textId="77777777" w:rsidR="003223DF" w:rsidRDefault="003223DF" w:rsidP="0089614C">
            <w:pPr>
              <w:pStyle w:val="criteriatableheading"/>
            </w:pPr>
            <w:r>
              <w:t>Outcome 1</w:t>
            </w:r>
          </w:p>
          <w:p w14:paraId="4DB549D8" w14:textId="77777777" w:rsidR="003223DF" w:rsidRPr="00C81F3C" w:rsidRDefault="003223DF" w:rsidP="0089614C">
            <w:pPr>
              <w:pStyle w:val="criteriatableheading"/>
              <w:rPr>
                <w:b w:val="0"/>
              </w:rPr>
            </w:pPr>
            <w:r>
              <w:t>PC 1.1</w:t>
            </w:r>
          </w:p>
        </w:tc>
        <w:tc>
          <w:tcPr>
            <w:tcW w:w="1490" w:type="pct"/>
            <w:tcBorders>
              <w:top w:val="single" w:sz="4" w:space="0" w:color="auto"/>
              <w:left w:val="single" w:sz="4" w:space="0" w:color="auto"/>
              <w:bottom w:val="single" w:sz="4" w:space="0" w:color="auto"/>
              <w:right w:val="single" w:sz="4" w:space="0" w:color="auto"/>
            </w:tcBorders>
          </w:tcPr>
          <w:p w14:paraId="3EDEC6F9" w14:textId="77777777" w:rsidR="003223DF" w:rsidRPr="00DF2C7E" w:rsidRDefault="003223DF" w:rsidP="0089614C">
            <w:pPr>
              <w:rPr>
                <w:rFonts w:eastAsia="Inter" w:cs="Inter"/>
                <w:b/>
              </w:rPr>
            </w:pPr>
            <w:r w:rsidRPr="75F2CE7F">
              <w:rPr>
                <w:rFonts w:eastAsia="Inter" w:cs="Inter"/>
                <w:b/>
              </w:rPr>
              <w:t>Question 1</w:t>
            </w:r>
          </w:p>
          <w:p w14:paraId="038420B1" w14:textId="77777777" w:rsidR="003223DF" w:rsidRDefault="003223DF" w:rsidP="0089614C">
            <w:pPr>
              <w:rPr>
                <w:rFonts w:eastAsia="Inter" w:cs="Inter"/>
              </w:rPr>
            </w:pPr>
            <w:r w:rsidRPr="75F2CE7F">
              <w:rPr>
                <w:rFonts w:eastAsia="Inter" w:cs="Inter"/>
              </w:rPr>
              <w:t>It is considered one of the most important legal documents in the history of democracy because:</w:t>
            </w:r>
          </w:p>
          <w:p w14:paraId="7EE6DECB" w14:textId="77777777" w:rsidR="003223DF" w:rsidRDefault="003223DF" w:rsidP="003223DF">
            <w:pPr>
              <w:pStyle w:val="TableParagraph"/>
              <w:numPr>
                <w:ilvl w:val="0"/>
                <w:numId w:val="14"/>
              </w:numPr>
              <w:tabs>
                <w:tab w:val="left" w:pos="466"/>
              </w:tabs>
              <w:ind w:right="89"/>
              <w:rPr>
                <w:rFonts w:ascii="Inter" w:eastAsia="Inter" w:hAnsi="Inter" w:cs="Inter"/>
              </w:rPr>
            </w:pPr>
            <w:r w:rsidRPr="75F2CE7F">
              <w:rPr>
                <w:rFonts w:ascii="Inter" w:eastAsia="Inter" w:hAnsi="Inter" w:cs="Inter"/>
              </w:rPr>
              <w:t>It established the principle that the power of the King could be limited. It was the start of parliamentary rather than royal</w:t>
            </w:r>
            <w:r w:rsidRPr="75F2CE7F">
              <w:rPr>
                <w:rFonts w:ascii="Inter" w:eastAsia="Inter" w:hAnsi="Inter" w:cs="Inter"/>
                <w:spacing w:val="-3"/>
              </w:rPr>
              <w:t xml:space="preserve"> </w:t>
            </w:r>
            <w:r w:rsidRPr="75F2CE7F">
              <w:rPr>
                <w:rFonts w:ascii="Inter" w:eastAsia="Inter" w:hAnsi="Inter" w:cs="Inter"/>
              </w:rPr>
              <w:t>sovereignty.</w:t>
            </w:r>
          </w:p>
          <w:p w14:paraId="79FE104C" w14:textId="77777777" w:rsidR="003223DF" w:rsidRDefault="003223DF" w:rsidP="003223DF">
            <w:pPr>
              <w:pStyle w:val="TableParagraph"/>
              <w:numPr>
                <w:ilvl w:val="0"/>
                <w:numId w:val="14"/>
              </w:numPr>
              <w:tabs>
                <w:tab w:val="left" w:pos="466"/>
              </w:tabs>
              <w:ind w:right="187"/>
              <w:rPr>
                <w:rFonts w:ascii="Inter" w:eastAsia="Inter" w:hAnsi="Inter" w:cs="Inter"/>
              </w:rPr>
            </w:pPr>
            <w:r w:rsidRPr="75F2CE7F">
              <w:rPr>
                <w:rFonts w:ascii="Inter" w:eastAsia="Inter" w:hAnsi="Inter" w:cs="Inter"/>
              </w:rPr>
              <w:t>It protected rights of the people – in particular the right of Habeas Corpus, and the right that everyone has access to the</w:t>
            </w:r>
            <w:r w:rsidRPr="75F2CE7F">
              <w:rPr>
                <w:rFonts w:ascii="Inter" w:eastAsia="Inter" w:hAnsi="Inter" w:cs="Inter"/>
                <w:spacing w:val="-6"/>
              </w:rPr>
              <w:t xml:space="preserve"> </w:t>
            </w:r>
            <w:r w:rsidRPr="75F2CE7F">
              <w:rPr>
                <w:rFonts w:ascii="Inter" w:eastAsia="Inter" w:hAnsi="Inter" w:cs="Inter"/>
              </w:rPr>
              <w:t>courts.</w:t>
            </w:r>
          </w:p>
          <w:p w14:paraId="22C42BDF" w14:textId="77777777" w:rsidR="003223DF" w:rsidRDefault="003223DF" w:rsidP="003223DF">
            <w:pPr>
              <w:pStyle w:val="TableParagraph"/>
              <w:numPr>
                <w:ilvl w:val="0"/>
                <w:numId w:val="14"/>
              </w:numPr>
              <w:tabs>
                <w:tab w:val="left" w:pos="466"/>
              </w:tabs>
              <w:ind w:right="530"/>
              <w:rPr>
                <w:rFonts w:ascii="Inter" w:eastAsia="Inter" w:hAnsi="Inter" w:cs="Inter"/>
              </w:rPr>
            </w:pPr>
            <w:r w:rsidRPr="75F2CE7F">
              <w:rPr>
                <w:rFonts w:ascii="Inter" w:eastAsia="Inter" w:hAnsi="Inter" w:cs="Inter"/>
              </w:rPr>
              <w:t>It established the right to trial by one’s peers.</w:t>
            </w:r>
          </w:p>
          <w:p w14:paraId="5AD3D204" w14:textId="77777777" w:rsidR="003223DF" w:rsidRDefault="003223DF" w:rsidP="003223DF">
            <w:pPr>
              <w:pStyle w:val="TableParagraph"/>
              <w:numPr>
                <w:ilvl w:val="0"/>
                <w:numId w:val="14"/>
              </w:numPr>
              <w:tabs>
                <w:tab w:val="left" w:pos="466"/>
              </w:tabs>
              <w:ind w:right="258"/>
              <w:rPr>
                <w:rFonts w:ascii="Inter" w:eastAsia="Inter" w:hAnsi="Inter" w:cs="Inter"/>
              </w:rPr>
            </w:pPr>
            <w:r w:rsidRPr="75F2CE7F">
              <w:rPr>
                <w:rFonts w:ascii="Inter" w:eastAsia="Inter" w:hAnsi="Inter" w:cs="Inter"/>
              </w:rPr>
              <w:t>It established the right to no undue delays in the court</w:t>
            </w:r>
            <w:r w:rsidRPr="75F2CE7F">
              <w:rPr>
                <w:rFonts w:ascii="Inter" w:eastAsia="Inter" w:hAnsi="Inter" w:cs="Inter"/>
                <w:spacing w:val="-3"/>
              </w:rPr>
              <w:t xml:space="preserve"> </w:t>
            </w:r>
            <w:r w:rsidRPr="75F2CE7F">
              <w:rPr>
                <w:rFonts w:ascii="Inter" w:eastAsia="Inter" w:hAnsi="Inter" w:cs="Inter"/>
              </w:rPr>
              <w:t>process.</w:t>
            </w:r>
          </w:p>
        </w:tc>
        <w:tc>
          <w:tcPr>
            <w:tcW w:w="1490" w:type="pct"/>
            <w:tcBorders>
              <w:top w:val="single" w:sz="4" w:space="0" w:color="auto"/>
              <w:left w:val="single" w:sz="4" w:space="0" w:color="auto"/>
              <w:bottom w:val="single" w:sz="4" w:space="0" w:color="auto"/>
              <w:right w:val="single" w:sz="4" w:space="0" w:color="auto"/>
            </w:tcBorders>
          </w:tcPr>
          <w:p w14:paraId="0B2CD2A6" w14:textId="2FE1EECD" w:rsidR="003223DF" w:rsidRPr="003F73CB" w:rsidRDefault="003223DF" w:rsidP="0089614C">
            <w:r>
              <w:t xml:space="preserve">The </w:t>
            </w:r>
            <w:proofErr w:type="spellStart"/>
            <w:r w:rsidR="00A877A1">
              <w:t>ākonga</w:t>
            </w:r>
            <w:proofErr w:type="spellEnd"/>
            <w:r w:rsidR="00A877A1">
              <w:t>/learner</w:t>
            </w:r>
            <w:r>
              <w:t xml:space="preserve"> develops their explanation of how the King’s powers were limited or of Habeas Corpus.</w:t>
            </w:r>
          </w:p>
        </w:tc>
        <w:tc>
          <w:tcPr>
            <w:tcW w:w="1489" w:type="pct"/>
            <w:tcBorders>
              <w:top w:val="single" w:sz="4" w:space="0" w:color="auto"/>
              <w:left w:val="single" w:sz="4" w:space="0" w:color="auto"/>
              <w:bottom w:val="single" w:sz="4" w:space="0" w:color="auto"/>
              <w:right w:val="single" w:sz="4" w:space="0" w:color="auto"/>
            </w:tcBorders>
          </w:tcPr>
          <w:p w14:paraId="5199F30F" w14:textId="77777777" w:rsidR="003223DF" w:rsidRDefault="003223DF" w:rsidP="0089614C">
            <w:r>
              <w:t>Magna Carta is thought to be the crucial turning point in the struggle to establish freedom and a key element in the transformation of constitutional thinking throughout the world.</w:t>
            </w:r>
          </w:p>
          <w:p w14:paraId="1A0E6E9A" w14:textId="77777777" w:rsidR="003223DF" w:rsidRPr="00695E79" w:rsidRDefault="003223DF" w:rsidP="0089614C"/>
          <w:p w14:paraId="36B5CFDB" w14:textId="77777777" w:rsidR="003223DF" w:rsidRPr="00695E79" w:rsidRDefault="003223DF" w:rsidP="0089614C"/>
          <w:p w14:paraId="77F3CA17" w14:textId="77777777" w:rsidR="003223DF" w:rsidRPr="00695E79" w:rsidRDefault="003223DF" w:rsidP="0089614C"/>
          <w:p w14:paraId="5E9CC3C6" w14:textId="77777777" w:rsidR="003223DF" w:rsidRPr="00695E79" w:rsidRDefault="003223DF" w:rsidP="0089614C"/>
          <w:p w14:paraId="3F0F60AA" w14:textId="77777777" w:rsidR="003223DF" w:rsidRPr="00695E79" w:rsidRDefault="003223DF" w:rsidP="0089614C"/>
          <w:p w14:paraId="4BFC3C83" w14:textId="77777777" w:rsidR="003223DF" w:rsidRPr="00695E79" w:rsidRDefault="003223DF" w:rsidP="0089614C"/>
          <w:p w14:paraId="26AA56DE" w14:textId="77777777" w:rsidR="003223DF" w:rsidRPr="00695E79" w:rsidRDefault="003223DF" w:rsidP="0089614C"/>
          <w:p w14:paraId="6FD33DFD" w14:textId="77777777" w:rsidR="003223DF" w:rsidRPr="00695E79" w:rsidRDefault="003223DF" w:rsidP="0089614C"/>
          <w:p w14:paraId="15FE0DB8" w14:textId="77777777" w:rsidR="003223DF" w:rsidRPr="00695E79" w:rsidRDefault="003223DF" w:rsidP="0089614C"/>
          <w:p w14:paraId="4E611A98" w14:textId="77777777" w:rsidR="003223DF" w:rsidRPr="00695E79" w:rsidRDefault="003223DF" w:rsidP="0089614C"/>
          <w:p w14:paraId="7E460F62" w14:textId="77777777" w:rsidR="003223DF" w:rsidRPr="00695E79" w:rsidRDefault="003223DF" w:rsidP="0089614C"/>
          <w:p w14:paraId="60C91E75" w14:textId="77777777" w:rsidR="003223DF" w:rsidRPr="00695E79" w:rsidRDefault="003223DF" w:rsidP="0089614C"/>
          <w:p w14:paraId="1EA25216" w14:textId="77777777" w:rsidR="003223DF" w:rsidRPr="00695E79" w:rsidRDefault="003223DF" w:rsidP="0089614C"/>
          <w:p w14:paraId="5433D8D4" w14:textId="77777777" w:rsidR="003223DF" w:rsidRPr="00695E79" w:rsidRDefault="003223DF" w:rsidP="0089614C"/>
          <w:p w14:paraId="641217C0" w14:textId="77777777" w:rsidR="003223DF" w:rsidRPr="00695E79" w:rsidRDefault="003223DF" w:rsidP="0089614C"/>
          <w:p w14:paraId="25261FAE" w14:textId="77777777" w:rsidR="003223DF" w:rsidRPr="00695E79" w:rsidRDefault="003223DF" w:rsidP="0089614C"/>
          <w:p w14:paraId="429A2483" w14:textId="77777777" w:rsidR="003223DF" w:rsidRPr="00695E79" w:rsidRDefault="003223DF" w:rsidP="0089614C"/>
        </w:tc>
      </w:tr>
      <w:tr w:rsidR="003223DF" w14:paraId="35B3EB1C" w14:textId="77777777" w:rsidTr="0089614C">
        <w:trPr>
          <w:cantSplit/>
        </w:trPr>
        <w:tc>
          <w:tcPr>
            <w:tcW w:w="531" w:type="pct"/>
            <w:tcBorders>
              <w:top w:val="single" w:sz="4" w:space="0" w:color="auto"/>
              <w:left w:val="single" w:sz="4" w:space="0" w:color="auto"/>
              <w:bottom w:val="single" w:sz="4" w:space="0" w:color="auto"/>
              <w:right w:val="single" w:sz="4" w:space="0" w:color="auto"/>
            </w:tcBorders>
          </w:tcPr>
          <w:p w14:paraId="3AB52CEB" w14:textId="77777777" w:rsidR="003223DF" w:rsidRPr="00C81F3C" w:rsidRDefault="003223DF" w:rsidP="0089614C">
            <w:pPr>
              <w:pStyle w:val="criteriatableheading"/>
            </w:pPr>
          </w:p>
        </w:tc>
        <w:tc>
          <w:tcPr>
            <w:tcW w:w="1490" w:type="pct"/>
            <w:tcBorders>
              <w:top w:val="single" w:sz="4" w:space="0" w:color="auto"/>
              <w:left w:val="single" w:sz="4" w:space="0" w:color="auto"/>
              <w:bottom w:val="single" w:sz="4" w:space="0" w:color="auto"/>
              <w:right w:val="single" w:sz="4" w:space="0" w:color="auto"/>
            </w:tcBorders>
          </w:tcPr>
          <w:p w14:paraId="538914A1" w14:textId="77777777" w:rsidR="003223DF" w:rsidRDefault="003223DF" w:rsidP="0089614C">
            <w:pPr>
              <w:rPr>
                <w:b/>
              </w:rPr>
            </w:pPr>
            <w:r>
              <w:rPr>
                <w:b/>
              </w:rPr>
              <w:t>Question 2</w:t>
            </w:r>
          </w:p>
          <w:p w14:paraId="4CE9357C" w14:textId="77777777" w:rsidR="003223DF" w:rsidRDefault="003223DF" w:rsidP="0089614C">
            <w:pPr>
              <w:rPr>
                <w:i/>
              </w:rPr>
            </w:pPr>
            <w:r>
              <w:rPr>
                <w:i/>
              </w:rPr>
              <w:t>When British colonists came to New Zealand they brought with them British law and the principles of the Magna Carta. Our legal system is still based on many of the legal principles established by the Magna Carta, in particular habeas corpus and that no person (or institution is above the law).</w:t>
            </w:r>
          </w:p>
          <w:p w14:paraId="29B5BD73" w14:textId="654E9DCA" w:rsidR="003223DF" w:rsidRDefault="003223DF" w:rsidP="0089614C">
            <w:r>
              <w:rPr>
                <w:b/>
              </w:rPr>
              <w:t xml:space="preserve">Note – </w:t>
            </w:r>
            <w:proofErr w:type="spellStart"/>
            <w:r w:rsidR="00A877A1">
              <w:t>ākonga</w:t>
            </w:r>
            <w:proofErr w:type="spellEnd"/>
            <w:r w:rsidR="00A877A1">
              <w:t>/learner</w:t>
            </w:r>
            <w:r>
              <w:t xml:space="preserve">s would need to </w:t>
            </w:r>
            <w:r>
              <w:rPr>
                <w:b/>
              </w:rPr>
              <w:t xml:space="preserve">identify a specific example </w:t>
            </w:r>
            <w:r>
              <w:t>from New Zealand or overseas for an Achieved grade.</w:t>
            </w:r>
          </w:p>
        </w:tc>
        <w:tc>
          <w:tcPr>
            <w:tcW w:w="1490" w:type="pct"/>
            <w:tcBorders>
              <w:top w:val="single" w:sz="4" w:space="0" w:color="auto"/>
              <w:left w:val="single" w:sz="4" w:space="0" w:color="auto"/>
              <w:bottom w:val="single" w:sz="4" w:space="0" w:color="auto"/>
              <w:right w:val="single" w:sz="4" w:space="0" w:color="auto"/>
            </w:tcBorders>
          </w:tcPr>
          <w:p w14:paraId="3C31B1BB" w14:textId="1A7447EE" w:rsidR="003223DF" w:rsidRDefault="003223DF" w:rsidP="0089614C">
            <w:pPr>
              <w:rPr>
                <w:rFonts w:eastAsia="Inter" w:cs="Inter"/>
              </w:rPr>
            </w:pPr>
            <w:r w:rsidRPr="75F2CE7F">
              <w:rPr>
                <w:rFonts w:eastAsia="Inter" w:cs="Inter"/>
              </w:rPr>
              <w:t xml:space="preserve">The </w:t>
            </w:r>
            <w:proofErr w:type="spellStart"/>
            <w:r w:rsidR="00A877A1">
              <w:rPr>
                <w:rFonts w:eastAsia="Inter" w:cs="Inter"/>
              </w:rPr>
              <w:t>ākonga</w:t>
            </w:r>
            <w:proofErr w:type="spellEnd"/>
            <w:r w:rsidR="00A877A1">
              <w:rPr>
                <w:rFonts w:eastAsia="Inter" w:cs="Inter"/>
              </w:rPr>
              <w:t>/learner</w:t>
            </w:r>
            <w:r w:rsidRPr="75F2CE7F">
              <w:rPr>
                <w:rFonts w:eastAsia="Inter" w:cs="Inter"/>
              </w:rPr>
              <w:t xml:space="preserve"> references particular legislation.</w:t>
            </w:r>
          </w:p>
          <w:p w14:paraId="597C1B50" w14:textId="77777777" w:rsidR="003223DF" w:rsidRDefault="003223DF" w:rsidP="0089614C">
            <w:pPr>
              <w:rPr>
                <w:rFonts w:eastAsia="Inter" w:cs="Inter"/>
                <w:i/>
              </w:rPr>
            </w:pPr>
            <w:r w:rsidRPr="75F2CE7F">
              <w:rPr>
                <w:rFonts w:eastAsia="Inter" w:cs="Inter"/>
              </w:rPr>
              <w:t>New</w:t>
            </w:r>
            <w:r w:rsidRPr="75F2CE7F">
              <w:rPr>
                <w:rFonts w:eastAsia="Inter" w:cs="Inter"/>
                <w:i/>
              </w:rPr>
              <w:t xml:space="preserve"> Zealand Bill of Rights Act (1990) affirms several of the principles of the Magna Carta into New Zealand law, e.g.</w:t>
            </w:r>
          </w:p>
          <w:p w14:paraId="0930B7BD" w14:textId="5781290F" w:rsidR="003223DF" w:rsidRDefault="003223DF" w:rsidP="003223DF">
            <w:pPr>
              <w:pStyle w:val="TableParagraph"/>
              <w:numPr>
                <w:ilvl w:val="0"/>
                <w:numId w:val="15"/>
              </w:numPr>
              <w:tabs>
                <w:tab w:val="left" w:pos="468"/>
                <w:tab w:val="left" w:pos="469"/>
              </w:tabs>
              <w:spacing w:line="268" w:lineRule="exact"/>
              <w:ind w:hanging="359"/>
              <w:rPr>
                <w:rFonts w:ascii="Inter" w:eastAsia="Inter" w:hAnsi="Inter" w:cs="Inter"/>
                <w:i/>
              </w:rPr>
            </w:pPr>
            <w:r w:rsidRPr="75F2CE7F">
              <w:rPr>
                <w:rFonts w:ascii="Inter" w:eastAsia="Inter" w:hAnsi="Inter" w:cs="Inter"/>
                <w:i/>
              </w:rPr>
              <w:t>right to a speedy</w:t>
            </w:r>
            <w:r w:rsidRPr="75F2CE7F">
              <w:rPr>
                <w:rFonts w:ascii="Inter" w:eastAsia="Inter" w:hAnsi="Inter" w:cs="Inter"/>
                <w:i/>
                <w:spacing w:val="-6"/>
              </w:rPr>
              <w:t xml:space="preserve"> </w:t>
            </w:r>
            <w:proofErr w:type="gramStart"/>
            <w:r w:rsidRPr="75F2CE7F">
              <w:rPr>
                <w:rFonts w:ascii="Inter" w:eastAsia="Inter" w:hAnsi="Inter" w:cs="Inter"/>
                <w:i/>
              </w:rPr>
              <w:t>trial</w:t>
            </w:r>
            <w:r w:rsidR="00D922B8">
              <w:rPr>
                <w:rFonts w:ascii="Inter" w:eastAsia="Inter" w:hAnsi="Inter" w:cs="Inter"/>
                <w:i/>
              </w:rPr>
              <w:t>;</w:t>
            </w:r>
            <w:proofErr w:type="gramEnd"/>
          </w:p>
          <w:p w14:paraId="2D0581D0" w14:textId="77777777" w:rsidR="003223DF" w:rsidRPr="003F73CB" w:rsidRDefault="003223DF" w:rsidP="003223DF">
            <w:pPr>
              <w:pStyle w:val="TableParagraph"/>
              <w:numPr>
                <w:ilvl w:val="0"/>
                <w:numId w:val="15"/>
              </w:numPr>
              <w:tabs>
                <w:tab w:val="left" w:pos="468"/>
                <w:tab w:val="left" w:pos="469"/>
              </w:tabs>
              <w:spacing w:line="268" w:lineRule="exact"/>
              <w:ind w:hanging="359"/>
            </w:pPr>
            <w:r w:rsidRPr="75F2CE7F">
              <w:rPr>
                <w:rFonts w:ascii="Inter" w:eastAsia="Inter" w:hAnsi="Inter" w:cs="Inter"/>
                <w:i/>
              </w:rPr>
              <w:t>the right to justice in the</w:t>
            </w:r>
            <w:r w:rsidRPr="75F2CE7F">
              <w:rPr>
                <w:rFonts w:ascii="Inter" w:eastAsia="Inter" w:hAnsi="Inter" w:cs="Inter"/>
                <w:i/>
                <w:spacing w:val="-9"/>
              </w:rPr>
              <w:t xml:space="preserve"> </w:t>
            </w:r>
            <w:r w:rsidRPr="75F2CE7F">
              <w:rPr>
                <w:rFonts w:ascii="Inter" w:eastAsia="Inter" w:hAnsi="Inter" w:cs="Inter"/>
                <w:i/>
              </w:rPr>
              <w:t>courts</w:t>
            </w:r>
            <w:r>
              <w:rPr>
                <w:i/>
              </w:rPr>
              <w:t>.</w:t>
            </w:r>
          </w:p>
        </w:tc>
        <w:tc>
          <w:tcPr>
            <w:tcW w:w="1489" w:type="pct"/>
            <w:tcBorders>
              <w:top w:val="single" w:sz="4" w:space="0" w:color="auto"/>
              <w:left w:val="single" w:sz="4" w:space="0" w:color="auto"/>
              <w:bottom w:val="single" w:sz="4" w:space="0" w:color="auto"/>
              <w:right w:val="single" w:sz="4" w:space="0" w:color="auto"/>
            </w:tcBorders>
          </w:tcPr>
          <w:p w14:paraId="4751CC39" w14:textId="012F6288" w:rsidR="003223DF" w:rsidRDefault="003223DF" w:rsidP="0089614C">
            <w:r>
              <w:t>An explanation of how the Magna Carta applies to a specific example(s), e.g.</w:t>
            </w:r>
          </w:p>
          <w:p w14:paraId="2814815F" w14:textId="77777777" w:rsidR="003223DF" w:rsidRDefault="003223DF" w:rsidP="0089614C">
            <w:r>
              <w:rPr>
                <w:i/>
              </w:rPr>
              <w:t>Magna Carta is still on NZ statutes – see Statutes of New Zealand, v 30 Zaoui v Attorney-General [2005] - the Supreme Court granted Mr Zaoui bail on the basis that the High Court had an “ancient common law jurisdiction” to grant bail to someone detained.</w:t>
            </w:r>
          </w:p>
        </w:tc>
      </w:tr>
      <w:tr w:rsidR="003223DF" w14:paraId="3E1636CB" w14:textId="77777777" w:rsidTr="0089614C">
        <w:tc>
          <w:tcPr>
            <w:tcW w:w="531" w:type="pct"/>
            <w:tcBorders>
              <w:top w:val="single" w:sz="4" w:space="0" w:color="auto"/>
              <w:left w:val="single" w:sz="4" w:space="0" w:color="auto"/>
              <w:bottom w:val="nil"/>
              <w:right w:val="single" w:sz="4" w:space="0" w:color="auto"/>
            </w:tcBorders>
          </w:tcPr>
          <w:p w14:paraId="524F6398" w14:textId="77777777" w:rsidR="003223DF" w:rsidRDefault="003223DF" w:rsidP="0089614C">
            <w:pPr>
              <w:pStyle w:val="criteriatableheading"/>
            </w:pPr>
            <w:r>
              <w:t>TWO</w:t>
            </w:r>
          </w:p>
          <w:p w14:paraId="4AAC9091" w14:textId="77777777" w:rsidR="003223DF" w:rsidRDefault="003223DF" w:rsidP="0089614C">
            <w:pPr>
              <w:pStyle w:val="criteriatableheading"/>
            </w:pPr>
            <w:r>
              <w:t>Outcome 1</w:t>
            </w:r>
          </w:p>
          <w:p w14:paraId="5932D60D" w14:textId="77777777" w:rsidR="003223DF" w:rsidRPr="00C81F3C" w:rsidRDefault="003223DF" w:rsidP="0089614C">
            <w:pPr>
              <w:pStyle w:val="criteriatableheading"/>
              <w:rPr>
                <w:b w:val="0"/>
              </w:rPr>
            </w:pPr>
            <w:r>
              <w:t>PC 1.1</w:t>
            </w:r>
          </w:p>
        </w:tc>
        <w:tc>
          <w:tcPr>
            <w:tcW w:w="1490" w:type="pct"/>
            <w:tcBorders>
              <w:top w:val="single" w:sz="4" w:space="0" w:color="auto"/>
              <w:left w:val="single" w:sz="4" w:space="0" w:color="auto"/>
              <w:bottom w:val="nil"/>
              <w:right w:val="single" w:sz="4" w:space="0" w:color="auto"/>
            </w:tcBorders>
          </w:tcPr>
          <w:p w14:paraId="0E4AA697" w14:textId="77777777" w:rsidR="003223DF" w:rsidRDefault="003223DF" w:rsidP="0089614C">
            <w:pPr>
              <w:rPr>
                <w:b/>
              </w:rPr>
            </w:pPr>
            <w:r>
              <w:rPr>
                <w:b/>
              </w:rPr>
              <w:t>Question 1</w:t>
            </w:r>
          </w:p>
          <w:p w14:paraId="60E5979D" w14:textId="42527952" w:rsidR="003223DF" w:rsidRDefault="003223DF" w:rsidP="0089614C">
            <w:r>
              <w:t xml:space="preserve">The </w:t>
            </w:r>
            <w:proofErr w:type="spellStart"/>
            <w:r w:rsidR="00A877A1">
              <w:t>ākonga</w:t>
            </w:r>
            <w:proofErr w:type="spellEnd"/>
            <w:r w:rsidR="00A877A1">
              <w:t>/learner</w:t>
            </w:r>
            <w:r>
              <w:t xml:space="preserve"> includes an explanation of the Treaty of Waitangi as a founding document of NZ governance, e.g.</w:t>
            </w:r>
          </w:p>
          <w:p w14:paraId="62F65B0B" w14:textId="77777777" w:rsidR="003223DF" w:rsidRDefault="003223DF" w:rsidP="0089614C">
            <w:pPr>
              <w:rPr>
                <w:i/>
              </w:rPr>
            </w:pPr>
            <w:r>
              <w:rPr>
                <w:i/>
              </w:rPr>
              <w:t xml:space="preserve">Te </w:t>
            </w:r>
            <w:proofErr w:type="spellStart"/>
            <w:r>
              <w:rPr>
                <w:i/>
              </w:rPr>
              <w:t>Tiriti</w:t>
            </w:r>
            <w:proofErr w:type="spellEnd"/>
            <w:r>
              <w:rPr>
                <w:i/>
              </w:rPr>
              <w:t xml:space="preserve"> o Waitangi is a broad statement of principles on which the British and Māori made a political compact to </w:t>
            </w:r>
            <w:proofErr w:type="gramStart"/>
            <w:r>
              <w:rPr>
                <w:i/>
              </w:rPr>
              <w:t>found</w:t>
            </w:r>
            <w:proofErr w:type="gramEnd"/>
            <w:r>
              <w:rPr>
                <w:i/>
              </w:rPr>
              <w:t xml:space="preserve"> a nation state and build a government in New Zealand.</w:t>
            </w:r>
          </w:p>
          <w:p w14:paraId="200F9C40" w14:textId="77777777" w:rsidR="003223DF" w:rsidRDefault="003223DF" w:rsidP="0089614C">
            <w:pPr>
              <w:rPr>
                <w:i/>
              </w:rPr>
            </w:pPr>
            <w:r>
              <w:rPr>
                <w:i/>
              </w:rPr>
              <w:t xml:space="preserve">An explanation of what the English version guaranteed in terms of </w:t>
            </w:r>
            <w:r>
              <w:rPr>
                <w:i/>
              </w:rPr>
              <w:lastRenderedPageBreak/>
              <w:t>sovereignty, governance, rights privileges and protection.</w:t>
            </w:r>
          </w:p>
          <w:p w14:paraId="11EA0245" w14:textId="77777777" w:rsidR="003223DF" w:rsidRDefault="003223DF" w:rsidP="0089614C">
            <w:pPr>
              <w:rPr>
                <w:i/>
              </w:rPr>
            </w:pPr>
            <w:r>
              <w:rPr>
                <w:i/>
              </w:rPr>
              <w:t xml:space="preserve">An explanation of why </w:t>
            </w:r>
            <w:proofErr w:type="spellStart"/>
            <w:r>
              <w:rPr>
                <w:i/>
              </w:rPr>
              <w:t>te</w:t>
            </w:r>
            <w:proofErr w:type="spellEnd"/>
            <w:r>
              <w:rPr>
                <w:i/>
              </w:rPr>
              <w:t xml:space="preserve"> </w:t>
            </w:r>
            <w:proofErr w:type="spellStart"/>
            <w:r>
              <w:rPr>
                <w:i/>
              </w:rPr>
              <w:t>Tiriti</w:t>
            </w:r>
            <w:proofErr w:type="spellEnd"/>
            <w:r>
              <w:rPr>
                <w:i/>
              </w:rPr>
              <w:t xml:space="preserve"> o Waitangi itself is not part of NZ law but does become law when incorporated into Acts </w:t>
            </w:r>
            <w:r w:rsidRPr="00DF2C7E">
              <w:rPr>
                <w:i/>
                <w:iCs/>
              </w:rPr>
              <w:t>of</w:t>
            </w:r>
            <w:r>
              <w:rPr>
                <w:i/>
              </w:rPr>
              <w:t xml:space="preserve"> Parliament.</w:t>
            </w:r>
          </w:p>
          <w:p w14:paraId="5965BB53" w14:textId="57118ADC" w:rsidR="003223DF" w:rsidRDefault="003223DF" w:rsidP="0089614C">
            <w:r>
              <w:rPr>
                <w:b/>
              </w:rPr>
              <w:t xml:space="preserve">Note – </w:t>
            </w:r>
            <w:proofErr w:type="spellStart"/>
            <w:r w:rsidR="00A877A1">
              <w:t>ākonga</w:t>
            </w:r>
            <w:proofErr w:type="spellEnd"/>
            <w:r w:rsidR="00A877A1">
              <w:t>/learner</w:t>
            </w:r>
            <w:r>
              <w:t xml:space="preserve">s would need to </w:t>
            </w:r>
            <w:r>
              <w:rPr>
                <w:b/>
              </w:rPr>
              <w:t xml:space="preserve">identify an actual example </w:t>
            </w:r>
            <w:r>
              <w:t xml:space="preserve">from New Zealand for an </w:t>
            </w:r>
            <w:r w:rsidR="00D922B8">
              <w:t>A</w:t>
            </w:r>
            <w:r>
              <w:t>chieved grade.</w:t>
            </w:r>
          </w:p>
        </w:tc>
        <w:tc>
          <w:tcPr>
            <w:tcW w:w="1490" w:type="pct"/>
            <w:tcBorders>
              <w:top w:val="single" w:sz="4" w:space="0" w:color="auto"/>
              <w:left w:val="single" w:sz="4" w:space="0" w:color="auto"/>
              <w:bottom w:val="nil"/>
              <w:right w:val="single" w:sz="4" w:space="0" w:color="auto"/>
            </w:tcBorders>
          </w:tcPr>
          <w:p w14:paraId="2ED04A14" w14:textId="77777777" w:rsidR="003223DF" w:rsidRDefault="003223DF" w:rsidP="0089614C">
            <w:r>
              <w:rPr>
                <w:b/>
              </w:rPr>
              <w:lastRenderedPageBreak/>
              <w:t xml:space="preserve">Part </w:t>
            </w:r>
            <w:r>
              <w:t>evidence of particular facts.</w:t>
            </w:r>
          </w:p>
          <w:p w14:paraId="07B69C76" w14:textId="77777777" w:rsidR="003223DF" w:rsidRPr="003F73CB" w:rsidRDefault="003223DF" w:rsidP="0089614C">
            <w:r w:rsidRPr="003223DF">
              <w:rPr>
                <w:i/>
                <w:iCs/>
              </w:rPr>
              <w:t>Third</w:t>
            </w:r>
            <w:r>
              <w:rPr>
                <w:i/>
              </w:rPr>
              <w:t xml:space="preserve"> article of </w:t>
            </w:r>
            <w:proofErr w:type="spellStart"/>
            <w:r>
              <w:rPr>
                <w:i/>
              </w:rPr>
              <w:t>te</w:t>
            </w:r>
            <w:proofErr w:type="spellEnd"/>
            <w:r>
              <w:rPr>
                <w:i/>
              </w:rPr>
              <w:t xml:space="preserve"> </w:t>
            </w:r>
            <w:proofErr w:type="spellStart"/>
            <w:r>
              <w:rPr>
                <w:i/>
              </w:rPr>
              <w:t>Tiriti</w:t>
            </w:r>
            <w:proofErr w:type="spellEnd"/>
            <w:r>
              <w:rPr>
                <w:i/>
              </w:rPr>
              <w:t xml:space="preserve"> o Waitangi extended rights and privileges of British subjects to Māori</w:t>
            </w:r>
            <w:r>
              <w:t>.</w:t>
            </w:r>
          </w:p>
        </w:tc>
        <w:tc>
          <w:tcPr>
            <w:tcW w:w="1489" w:type="pct"/>
            <w:tcBorders>
              <w:top w:val="single" w:sz="4" w:space="0" w:color="auto"/>
              <w:left w:val="single" w:sz="4" w:space="0" w:color="auto"/>
              <w:bottom w:val="nil"/>
              <w:right w:val="single" w:sz="4" w:space="0" w:color="auto"/>
            </w:tcBorders>
          </w:tcPr>
          <w:p w14:paraId="039D2161" w14:textId="77777777" w:rsidR="003223DF" w:rsidRDefault="003223DF" w:rsidP="0089614C"/>
        </w:tc>
      </w:tr>
      <w:tr w:rsidR="003223DF" w14:paraId="3D42661A" w14:textId="77777777" w:rsidTr="0089614C">
        <w:tc>
          <w:tcPr>
            <w:tcW w:w="531" w:type="pct"/>
            <w:tcBorders>
              <w:top w:val="nil"/>
              <w:left w:val="single" w:sz="4" w:space="0" w:color="auto"/>
              <w:bottom w:val="nil"/>
              <w:right w:val="single" w:sz="4" w:space="0" w:color="auto"/>
            </w:tcBorders>
          </w:tcPr>
          <w:p w14:paraId="7540D831" w14:textId="77777777" w:rsidR="003223DF" w:rsidRDefault="003223DF" w:rsidP="0089614C">
            <w:pPr>
              <w:pStyle w:val="criteriatableheading"/>
            </w:pPr>
          </w:p>
        </w:tc>
        <w:tc>
          <w:tcPr>
            <w:tcW w:w="1490" w:type="pct"/>
            <w:tcBorders>
              <w:top w:val="nil"/>
              <w:left w:val="single" w:sz="4" w:space="0" w:color="auto"/>
              <w:bottom w:val="nil"/>
              <w:right w:val="single" w:sz="4" w:space="0" w:color="auto"/>
            </w:tcBorders>
          </w:tcPr>
          <w:p w14:paraId="53B2D6D2" w14:textId="77777777" w:rsidR="003223DF" w:rsidRDefault="003223DF" w:rsidP="0089614C"/>
        </w:tc>
        <w:tc>
          <w:tcPr>
            <w:tcW w:w="1490" w:type="pct"/>
            <w:tcBorders>
              <w:top w:val="nil"/>
              <w:left w:val="single" w:sz="4" w:space="0" w:color="auto"/>
              <w:bottom w:val="nil"/>
              <w:right w:val="single" w:sz="4" w:space="0" w:color="auto"/>
            </w:tcBorders>
          </w:tcPr>
          <w:p w14:paraId="0EE81C6B" w14:textId="77777777" w:rsidR="003223DF" w:rsidRDefault="003223DF" w:rsidP="0089614C">
            <w:pPr>
              <w:rPr>
                <w:b/>
              </w:rPr>
            </w:pPr>
            <w:r>
              <w:rPr>
                <w:b/>
              </w:rPr>
              <w:t>Question 2</w:t>
            </w:r>
          </w:p>
          <w:p w14:paraId="7996FE73" w14:textId="77777777" w:rsidR="003223DF" w:rsidRDefault="003223DF" w:rsidP="0089614C">
            <w:r>
              <w:t>Reference to a particular piece of legislation, e.g.</w:t>
            </w:r>
          </w:p>
          <w:p w14:paraId="30AC69DB" w14:textId="77777777" w:rsidR="003223DF" w:rsidRDefault="003223DF" w:rsidP="0089614C">
            <w:pPr>
              <w:rPr>
                <w:i/>
              </w:rPr>
            </w:pPr>
            <w:r>
              <w:rPr>
                <w:i/>
              </w:rPr>
              <w:t xml:space="preserve">Resource Management Act (1991) which includes reference to the principles of </w:t>
            </w:r>
            <w:proofErr w:type="spellStart"/>
            <w:r>
              <w:rPr>
                <w:i/>
              </w:rPr>
              <w:t>te</w:t>
            </w:r>
            <w:proofErr w:type="spellEnd"/>
            <w:r>
              <w:rPr>
                <w:i/>
              </w:rPr>
              <w:t xml:space="preserve"> </w:t>
            </w:r>
            <w:proofErr w:type="spellStart"/>
            <w:r>
              <w:rPr>
                <w:i/>
              </w:rPr>
              <w:t>Tiriti</w:t>
            </w:r>
            <w:proofErr w:type="spellEnd"/>
            <w:r>
              <w:rPr>
                <w:i/>
              </w:rPr>
              <w:t xml:space="preserve"> o Waitangi and as such these become legally enforceable.</w:t>
            </w:r>
          </w:p>
          <w:p w14:paraId="6165B592" w14:textId="77777777" w:rsidR="003223DF" w:rsidRPr="003F73CB" w:rsidRDefault="003223DF" w:rsidP="0089614C">
            <w:r>
              <w:rPr>
                <w:i/>
              </w:rPr>
              <w:t xml:space="preserve">State Owned Enterprises Act (1986) – clearly affirms the importance of </w:t>
            </w:r>
            <w:proofErr w:type="spellStart"/>
            <w:r>
              <w:rPr>
                <w:i/>
              </w:rPr>
              <w:t>te</w:t>
            </w:r>
            <w:proofErr w:type="spellEnd"/>
            <w:r>
              <w:rPr>
                <w:i/>
              </w:rPr>
              <w:t xml:space="preserve"> </w:t>
            </w:r>
            <w:proofErr w:type="spellStart"/>
            <w:r>
              <w:rPr>
                <w:i/>
              </w:rPr>
              <w:t>Tiriti</w:t>
            </w:r>
            <w:proofErr w:type="spellEnd"/>
            <w:r>
              <w:rPr>
                <w:i/>
              </w:rPr>
              <w:t xml:space="preserve"> o Waitangi as it prohibits actions inconsistent with the principles of </w:t>
            </w:r>
            <w:proofErr w:type="spellStart"/>
            <w:r>
              <w:rPr>
                <w:i/>
              </w:rPr>
              <w:t>te</w:t>
            </w:r>
            <w:proofErr w:type="spellEnd"/>
            <w:r>
              <w:rPr>
                <w:i/>
              </w:rPr>
              <w:t xml:space="preserve"> </w:t>
            </w:r>
            <w:proofErr w:type="spellStart"/>
            <w:r>
              <w:rPr>
                <w:i/>
              </w:rPr>
              <w:t>Tiriti</w:t>
            </w:r>
            <w:proofErr w:type="spellEnd"/>
            <w:r>
              <w:rPr>
                <w:i/>
              </w:rPr>
              <w:t xml:space="preserve"> o Waitangi.</w:t>
            </w:r>
          </w:p>
        </w:tc>
        <w:tc>
          <w:tcPr>
            <w:tcW w:w="1489" w:type="pct"/>
            <w:tcBorders>
              <w:top w:val="nil"/>
              <w:left w:val="single" w:sz="4" w:space="0" w:color="auto"/>
              <w:bottom w:val="nil"/>
              <w:right w:val="single" w:sz="4" w:space="0" w:color="auto"/>
            </w:tcBorders>
          </w:tcPr>
          <w:p w14:paraId="15F39907" w14:textId="42036BFB" w:rsidR="003223DF" w:rsidRDefault="003223DF" w:rsidP="0089614C">
            <w:r>
              <w:t xml:space="preserve">The </w:t>
            </w:r>
            <w:proofErr w:type="spellStart"/>
            <w:r w:rsidR="00A877A1">
              <w:t>ākonga</w:t>
            </w:r>
            <w:proofErr w:type="spellEnd"/>
            <w:r w:rsidR="00A877A1">
              <w:t>/learner</w:t>
            </w:r>
            <w:r>
              <w:t xml:space="preserve"> fully develops their explanation of </w:t>
            </w:r>
            <w:proofErr w:type="spellStart"/>
            <w:r>
              <w:t>te</w:t>
            </w:r>
            <w:proofErr w:type="spellEnd"/>
            <w:r>
              <w:t xml:space="preserve"> </w:t>
            </w:r>
            <w:proofErr w:type="spellStart"/>
            <w:r>
              <w:t>Tiriti</w:t>
            </w:r>
            <w:proofErr w:type="spellEnd"/>
            <w:r>
              <w:t xml:space="preserve"> o Waitangi’s place in New Zealand law by reference to an actual example(s), e.g. New Zealand Māori Council v Attorney General (1992) (Broadcasting Assets).</w:t>
            </w:r>
          </w:p>
        </w:tc>
      </w:tr>
      <w:tr w:rsidR="003223DF" w14:paraId="4B82BE87" w14:textId="77777777" w:rsidTr="0089614C">
        <w:trPr>
          <w:trHeight w:val="4260"/>
        </w:trPr>
        <w:tc>
          <w:tcPr>
            <w:tcW w:w="531" w:type="pct"/>
            <w:tcBorders>
              <w:top w:val="nil"/>
              <w:left w:val="single" w:sz="4" w:space="0" w:color="auto"/>
              <w:bottom w:val="nil"/>
              <w:right w:val="single" w:sz="4" w:space="0" w:color="auto"/>
            </w:tcBorders>
          </w:tcPr>
          <w:p w14:paraId="3753D501" w14:textId="77777777" w:rsidR="003223DF" w:rsidRDefault="003223DF" w:rsidP="0089614C">
            <w:pPr>
              <w:pStyle w:val="criteriatableheading"/>
              <w:keepNext/>
              <w:keepLines/>
            </w:pPr>
            <w:r>
              <w:lastRenderedPageBreak/>
              <w:t>THREE</w:t>
            </w:r>
          </w:p>
          <w:p w14:paraId="261F4DDF" w14:textId="77777777" w:rsidR="003223DF" w:rsidRDefault="003223DF" w:rsidP="0089614C">
            <w:pPr>
              <w:pStyle w:val="criteriatableheading"/>
            </w:pPr>
            <w:r>
              <w:t>Outcome 1</w:t>
            </w:r>
          </w:p>
          <w:p w14:paraId="19FB3AEE" w14:textId="77777777" w:rsidR="003223DF" w:rsidRPr="00C81F3C" w:rsidRDefault="003223DF" w:rsidP="0089614C">
            <w:pPr>
              <w:pStyle w:val="criteriatableheading"/>
              <w:rPr>
                <w:b w:val="0"/>
              </w:rPr>
            </w:pPr>
            <w:r>
              <w:t>PC 1.1</w:t>
            </w:r>
          </w:p>
        </w:tc>
        <w:tc>
          <w:tcPr>
            <w:tcW w:w="1490" w:type="pct"/>
            <w:tcBorders>
              <w:top w:val="nil"/>
              <w:left w:val="single" w:sz="4" w:space="0" w:color="auto"/>
              <w:bottom w:val="nil"/>
              <w:right w:val="single" w:sz="4" w:space="0" w:color="auto"/>
            </w:tcBorders>
          </w:tcPr>
          <w:p w14:paraId="56108AE9" w14:textId="77777777" w:rsidR="003223DF" w:rsidRDefault="003223DF" w:rsidP="0089614C">
            <w:pPr>
              <w:rPr>
                <w:b/>
              </w:rPr>
            </w:pPr>
            <w:r>
              <w:rPr>
                <w:b/>
              </w:rPr>
              <w:t>Question 1</w:t>
            </w:r>
          </w:p>
          <w:p w14:paraId="53ADED4D" w14:textId="29F19365" w:rsidR="003223DF" w:rsidRDefault="003223DF" w:rsidP="0089614C">
            <w:r>
              <w:t xml:space="preserve">The </w:t>
            </w:r>
            <w:proofErr w:type="spellStart"/>
            <w:r w:rsidR="00A877A1">
              <w:t>ākonga</w:t>
            </w:r>
            <w:proofErr w:type="spellEnd"/>
            <w:r w:rsidR="00A877A1">
              <w:t>/learner</w:t>
            </w:r>
            <w:r>
              <w:t xml:space="preserve"> includes a definition </w:t>
            </w:r>
            <w:r w:rsidRPr="00B336FC">
              <w:rPr>
                <w:iCs/>
              </w:rPr>
              <w:t>of</w:t>
            </w:r>
            <w:r>
              <w:t xml:space="preserve"> parliamentary sovereignty</w:t>
            </w:r>
            <w:r w:rsidR="00E305B5">
              <w:t>,</w:t>
            </w:r>
            <w:r>
              <w:t xml:space="preserve"> e.g.</w:t>
            </w:r>
          </w:p>
          <w:p w14:paraId="527588F3" w14:textId="77777777" w:rsidR="003223DF" w:rsidRPr="00A4018D" w:rsidRDefault="003223DF" w:rsidP="0089614C">
            <w:pPr>
              <w:rPr>
                <w:i/>
              </w:rPr>
            </w:pPr>
            <w:r>
              <w:rPr>
                <w:i/>
              </w:rPr>
              <w:t>The legislative body (parliament) has absolute sovereignty, and is supreme over all other government institutions, including executive or judicial bodies. It also holds that the legislative body is not binding on its successors and so may change or repeal any previous legislation.</w:t>
            </w:r>
          </w:p>
        </w:tc>
        <w:tc>
          <w:tcPr>
            <w:tcW w:w="1490" w:type="pct"/>
            <w:tcBorders>
              <w:top w:val="nil"/>
              <w:left w:val="single" w:sz="4" w:space="0" w:color="auto"/>
              <w:bottom w:val="nil"/>
              <w:right w:val="single" w:sz="4" w:space="0" w:color="auto"/>
            </w:tcBorders>
          </w:tcPr>
          <w:p w14:paraId="0213B44A" w14:textId="77777777" w:rsidR="003223DF" w:rsidRPr="003F73CB" w:rsidRDefault="003223DF" w:rsidP="0089614C">
            <w:pPr>
              <w:rPr>
                <w:rFonts w:eastAsia="Inter" w:cs="Inter"/>
              </w:rPr>
            </w:pPr>
          </w:p>
        </w:tc>
        <w:tc>
          <w:tcPr>
            <w:tcW w:w="1489" w:type="pct"/>
            <w:tcBorders>
              <w:top w:val="nil"/>
              <w:left w:val="single" w:sz="4" w:space="0" w:color="auto"/>
              <w:bottom w:val="nil"/>
              <w:right w:val="single" w:sz="4" w:space="0" w:color="auto"/>
            </w:tcBorders>
          </w:tcPr>
          <w:p w14:paraId="48F81E79" w14:textId="77777777" w:rsidR="003223DF" w:rsidRDefault="003223DF" w:rsidP="0089614C">
            <w:pPr>
              <w:rPr>
                <w:rFonts w:eastAsia="Inter" w:cs="Inter"/>
                <w:b/>
                <w:shd w:val="clear" w:color="auto" w:fill="FFFFFF"/>
              </w:rPr>
            </w:pPr>
            <w:r w:rsidRPr="7A69F6F7">
              <w:rPr>
                <w:rFonts w:eastAsia="Inter" w:cs="Inter"/>
                <w:b/>
                <w:shd w:val="clear" w:color="auto" w:fill="FFFFFF"/>
              </w:rPr>
              <w:t>Question</w:t>
            </w:r>
            <w:r w:rsidRPr="7A69F6F7">
              <w:rPr>
                <w:rFonts w:eastAsia="Inter" w:cs="Inter"/>
                <w:b/>
                <w:spacing w:val="-1"/>
                <w:shd w:val="clear" w:color="auto" w:fill="FFFFFF"/>
              </w:rPr>
              <w:t xml:space="preserve"> </w:t>
            </w:r>
            <w:r w:rsidRPr="7A69F6F7">
              <w:rPr>
                <w:rFonts w:eastAsia="Inter" w:cs="Inter"/>
                <w:b/>
                <w:shd w:val="clear" w:color="auto" w:fill="FFFFFF"/>
              </w:rPr>
              <w:t>4</w:t>
            </w:r>
          </w:p>
          <w:p w14:paraId="71B5EC83" w14:textId="10998D93" w:rsidR="003223DF" w:rsidRDefault="003223DF" w:rsidP="0089614C">
            <w:pPr>
              <w:rPr>
                <w:rFonts w:eastAsia="Inter" w:cs="Inter"/>
                <w:i/>
              </w:rPr>
            </w:pPr>
            <w:r w:rsidRPr="7A69F6F7">
              <w:rPr>
                <w:rFonts w:eastAsia="Inter" w:cs="Inter"/>
              </w:rPr>
              <w:t xml:space="preserve">The </w:t>
            </w:r>
            <w:proofErr w:type="spellStart"/>
            <w:r w:rsidR="00A877A1">
              <w:rPr>
                <w:rFonts w:eastAsia="Inter" w:cs="Inter"/>
              </w:rPr>
              <w:t>ākonga</w:t>
            </w:r>
            <w:proofErr w:type="spellEnd"/>
            <w:r w:rsidR="00A877A1">
              <w:rPr>
                <w:rFonts w:eastAsia="Inter" w:cs="Inter"/>
              </w:rPr>
              <w:t>/learner</w:t>
            </w:r>
            <w:r w:rsidRPr="7A69F6F7">
              <w:rPr>
                <w:rFonts w:eastAsia="Inter" w:cs="Inter"/>
              </w:rPr>
              <w:t xml:space="preserve"> fully develops their explanation of parliamentary sovereignty by reference to </w:t>
            </w:r>
            <w:r w:rsidRPr="7A69F6F7">
              <w:rPr>
                <w:rFonts w:eastAsia="Inter" w:cs="Inter"/>
                <w:i/>
              </w:rPr>
              <w:t>Quilter v</w:t>
            </w:r>
            <w:r w:rsidRPr="7A69F6F7">
              <w:rPr>
                <w:rFonts w:eastAsia="Inter" w:cs="Inter"/>
                <w:i/>
                <w:spacing w:val="-1"/>
              </w:rPr>
              <w:t xml:space="preserve"> </w:t>
            </w:r>
            <w:r w:rsidRPr="7A69F6F7">
              <w:rPr>
                <w:rFonts w:eastAsia="Inter" w:cs="Inter"/>
                <w:i/>
              </w:rPr>
              <w:t>Attorney-General.</w:t>
            </w:r>
          </w:p>
          <w:p w14:paraId="6B3F454A" w14:textId="245F764E" w:rsidR="003223DF" w:rsidRDefault="003223DF" w:rsidP="0089614C">
            <w:pPr>
              <w:rPr>
                <w:rFonts w:eastAsia="Inter" w:cs="Inter"/>
              </w:rPr>
            </w:pPr>
            <w:r w:rsidRPr="7A69F6F7">
              <w:rPr>
                <w:rFonts w:eastAsia="Inter" w:cs="Inter"/>
              </w:rPr>
              <w:t xml:space="preserve">A full answer for </w:t>
            </w:r>
            <w:r w:rsidR="00437279">
              <w:rPr>
                <w:rFonts w:eastAsia="Inter" w:cs="Inter"/>
              </w:rPr>
              <w:t>E</w:t>
            </w:r>
            <w:r w:rsidRPr="7A69F6F7">
              <w:rPr>
                <w:rFonts w:eastAsia="Inter" w:cs="Inter"/>
              </w:rPr>
              <w:t>xcellence would:</w:t>
            </w:r>
          </w:p>
          <w:p w14:paraId="755210B4" w14:textId="688E0651" w:rsidR="003223DF" w:rsidRDefault="003223DF" w:rsidP="003223DF">
            <w:pPr>
              <w:pStyle w:val="TableParagraph"/>
              <w:numPr>
                <w:ilvl w:val="0"/>
                <w:numId w:val="16"/>
              </w:numPr>
              <w:tabs>
                <w:tab w:val="left" w:pos="466"/>
                <w:tab w:val="left" w:pos="467"/>
              </w:tabs>
              <w:ind w:right="393"/>
              <w:rPr>
                <w:rFonts w:ascii="Inter" w:eastAsia="Inter" w:hAnsi="Inter" w:cs="Inter"/>
              </w:rPr>
            </w:pPr>
            <w:r w:rsidRPr="7A69F6F7">
              <w:rPr>
                <w:rFonts w:ascii="Inter" w:eastAsia="Inter" w:hAnsi="Inter" w:cs="Inter"/>
              </w:rPr>
              <w:t>describe the case</w:t>
            </w:r>
            <w:r w:rsidR="00C94161">
              <w:rPr>
                <w:rFonts w:ascii="Inter" w:eastAsia="Inter" w:hAnsi="Inter" w:cs="Inter"/>
              </w:rPr>
              <w:t>,</w:t>
            </w:r>
            <w:r w:rsidRPr="7A69F6F7">
              <w:rPr>
                <w:rFonts w:ascii="Inter" w:eastAsia="Inter" w:hAnsi="Inter" w:cs="Inter"/>
              </w:rPr>
              <w:t xml:space="preserve"> e</w:t>
            </w:r>
            <w:r w:rsidR="00C94161">
              <w:rPr>
                <w:rFonts w:ascii="Inter" w:eastAsia="Inter" w:hAnsi="Inter" w:cs="Inter"/>
              </w:rPr>
              <w:t>.</w:t>
            </w:r>
            <w:r w:rsidRPr="7A69F6F7">
              <w:rPr>
                <w:rFonts w:ascii="Inter" w:eastAsia="Inter" w:hAnsi="Inter" w:cs="Inter"/>
              </w:rPr>
              <w:t>g</w:t>
            </w:r>
            <w:r w:rsidR="00C94161">
              <w:rPr>
                <w:rFonts w:ascii="Inter" w:eastAsia="Inter" w:hAnsi="Inter" w:cs="Inter"/>
              </w:rPr>
              <w:t>.</w:t>
            </w:r>
            <w:r w:rsidRPr="7A69F6F7">
              <w:rPr>
                <w:rFonts w:ascii="Inter" w:eastAsia="Inter" w:hAnsi="Inter" w:cs="Inter"/>
              </w:rPr>
              <w:t xml:space="preserve"> an appeal against Marriage Act 1955 to allow </w:t>
            </w:r>
            <w:proofErr w:type="gramStart"/>
            <w:r w:rsidRPr="7A69F6F7">
              <w:rPr>
                <w:rFonts w:ascii="Inter" w:eastAsia="Inter" w:hAnsi="Inter" w:cs="Inter"/>
              </w:rPr>
              <w:t>same-sex</w:t>
            </w:r>
            <w:proofErr w:type="gramEnd"/>
            <w:r w:rsidRPr="7A69F6F7">
              <w:rPr>
                <w:rFonts w:ascii="Inter" w:eastAsia="Inter" w:hAnsi="Inter" w:cs="Inter"/>
              </w:rPr>
              <w:t xml:space="preserve"> marriage;</w:t>
            </w:r>
          </w:p>
          <w:p w14:paraId="6857CE16" w14:textId="77777777" w:rsidR="003223DF" w:rsidRDefault="003223DF" w:rsidP="003223DF">
            <w:pPr>
              <w:pStyle w:val="TableParagraph"/>
              <w:numPr>
                <w:ilvl w:val="0"/>
                <w:numId w:val="16"/>
              </w:numPr>
              <w:tabs>
                <w:tab w:val="left" w:pos="466"/>
                <w:tab w:val="left" w:pos="467"/>
              </w:tabs>
              <w:spacing w:line="268" w:lineRule="exact"/>
              <w:rPr>
                <w:rFonts w:ascii="Inter" w:eastAsia="Inter" w:hAnsi="Inter" w:cs="Inter"/>
              </w:rPr>
            </w:pPr>
            <w:r w:rsidRPr="7A69F6F7">
              <w:rPr>
                <w:rFonts w:ascii="Inter" w:eastAsia="Inter" w:hAnsi="Inter" w:cs="Inter"/>
              </w:rPr>
              <w:t>summarise legal</w:t>
            </w:r>
            <w:r w:rsidRPr="7A69F6F7">
              <w:rPr>
                <w:rFonts w:ascii="Inter" w:eastAsia="Inter" w:hAnsi="Inter" w:cs="Inter"/>
                <w:spacing w:val="-1"/>
              </w:rPr>
              <w:t xml:space="preserve"> </w:t>
            </w:r>
            <w:proofErr w:type="gramStart"/>
            <w:r w:rsidRPr="7A69F6F7">
              <w:rPr>
                <w:rFonts w:ascii="Inter" w:eastAsia="Inter" w:hAnsi="Inter" w:cs="Inter"/>
              </w:rPr>
              <w:t>arguments;</w:t>
            </w:r>
            <w:proofErr w:type="gramEnd"/>
          </w:p>
          <w:p w14:paraId="0B8A1636" w14:textId="77777777" w:rsidR="003223DF" w:rsidRDefault="003223DF" w:rsidP="003223DF">
            <w:pPr>
              <w:pStyle w:val="TableParagraph"/>
              <w:numPr>
                <w:ilvl w:val="0"/>
                <w:numId w:val="16"/>
              </w:numPr>
              <w:tabs>
                <w:tab w:val="left" w:pos="466"/>
                <w:tab w:val="left" w:pos="467"/>
              </w:tabs>
              <w:spacing w:line="268" w:lineRule="exact"/>
              <w:rPr>
                <w:rFonts w:ascii="Inter" w:eastAsia="Inter" w:hAnsi="Inter" w:cs="Inter"/>
              </w:rPr>
            </w:pPr>
            <w:r w:rsidRPr="7A69F6F7">
              <w:rPr>
                <w:rFonts w:ascii="Inter" w:eastAsia="Inter" w:hAnsi="Inter" w:cs="Inter"/>
              </w:rPr>
              <w:t>summarise the</w:t>
            </w:r>
            <w:r w:rsidRPr="7A69F6F7">
              <w:rPr>
                <w:rFonts w:ascii="Inter" w:eastAsia="Inter" w:hAnsi="Inter" w:cs="Inter"/>
                <w:spacing w:val="-3"/>
              </w:rPr>
              <w:t xml:space="preserve"> </w:t>
            </w:r>
            <w:r w:rsidRPr="7A69F6F7">
              <w:rPr>
                <w:rFonts w:ascii="Inter" w:eastAsia="Inter" w:hAnsi="Inter" w:cs="Inter"/>
              </w:rPr>
              <w:t>decision.</w:t>
            </w:r>
          </w:p>
        </w:tc>
      </w:tr>
      <w:tr w:rsidR="003223DF" w14:paraId="0C4CBFB4" w14:textId="77777777" w:rsidTr="0089614C">
        <w:tc>
          <w:tcPr>
            <w:tcW w:w="531" w:type="pct"/>
            <w:tcBorders>
              <w:top w:val="nil"/>
              <w:left w:val="single" w:sz="4" w:space="0" w:color="auto"/>
              <w:bottom w:val="nil"/>
              <w:right w:val="single" w:sz="4" w:space="0" w:color="auto"/>
            </w:tcBorders>
          </w:tcPr>
          <w:p w14:paraId="71D4219F" w14:textId="77777777" w:rsidR="003223DF" w:rsidRDefault="003223DF" w:rsidP="0089614C">
            <w:pPr>
              <w:pStyle w:val="criteriatableheading"/>
            </w:pPr>
          </w:p>
        </w:tc>
        <w:tc>
          <w:tcPr>
            <w:tcW w:w="1490" w:type="pct"/>
            <w:tcBorders>
              <w:top w:val="nil"/>
              <w:left w:val="single" w:sz="4" w:space="0" w:color="auto"/>
              <w:bottom w:val="nil"/>
              <w:right w:val="single" w:sz="4" w:space="0" w:color="auto"/>
            </w:tcBorders>
          </w:tcPr>
          <w:p w14:paraId="721AD622" w14:textId="77777777" w:rsidR="003223DF" w:rsidRDefault="003223DF" w:rsidP="0089614C">
            <w:pPr>
              <w:rPr>
                <w:b/>
              </w:rPr>
            </w:pPr>
            <w:r>
              <w:rPr>
                <w:b/>
              </w:rPr>
              <w:t>Question 2</w:t>
            </w:r>
          </w:p>
          <w:p w14:paraId="0A95BC7B" w14:textId="77777777" w:rsidR="003223DF" w:rsidRPr="00A4018D" w:rsidRDefault="003223DF" w:rsidP="0089614C">
            <w:pPr>
              <w:rPr>
                <w:i/>
              </w:rPr>
            </w:pPr>
            <w:r>
              <w:rPr>
                <w:i/>
              </w:rPr>
              <w:t>It is an important aspect of governance in a liberal democracy because it means that only the parliament elected by the people can make laws to govern those people.</w:t>
            </w:r>
          </w:p>
        </w:tc>
        <w:tc>
          <w:tcPr>
            <w:tcW w:w="1490" w:type="pct"/>
            <w:tcBorders>
              <w:top w:val="nil"/>
              <w:left w:val="single" w:sz="4" w:space="0" w:color="auto"/>
              <w:bottom w:val="nil"/>
              <w:right w:val="single" w:sz="4" w:space="0" w:color="auto"/>
            </w:tcBorders>
          </w:tcPr>
          <w:p w14:paraId="2D6C8457" w14:textId="77777777" w:rsidR="003223DF" w:rsidRPr="003F73CB" w:rsidRDefault="003223DF" w:rsidP="0089614C">
            <w:pPr>
              <w:rPr>
                <w:szCs w:val="22"/>
              </w:rPr>
            </w:pPr>
          </w:p>
        </w:tc>
        <w:tc>
          <w:tcPr>
            <w:tcW w:w="1489" w:type="pct"/>
            <w:tcBorders>
              <w:top w:val="nil"/>
              <w:left w:val="single" w:sz="4" w:space="0" w:color="auto"/>
              <w:bottom w:val="nil"/>
              <w:right w:val="single" w:sz="4" w:space="0" w:color="auto"/>
            </w:tcBorders>
          </w:tcPr>
          <w:p w14:paraId="371DC649" w14:textId="77777777" w:rsidR="003223DF" w:rsidRDefault="003223DF" w:rsidP="0089614C"/>
        </w:tc>
      </w:tr>
      <w:tr w:rsidR="003223DF" w14:paraId="2C10FB45" w14:textId="77777777" w:rsidTr="0089614C">
        <w:tc>
          <w:tcPr>
            <w:tcW w:w="531" w:type="pct"/>
            <w:tcBorders>
              <w:top w:val="nil"/>
              <w:left w:val="single" w:sz="4" w:space="0" w:color="auto"/>
              <w:bottom w:val="single" w:sz="4" w:space="0" w:color="auto"/>
              <w:right w:val="single" w:sz="4" w:space="0" w:color="auto"/>
            </w:tcBorders>
          </w:tcPr>
          <w:p w14:paraId="7763266B" w14:textId="77777777" w:rsidR="003223DF" w:rsidRDefault="003223DF" w:rsidP="0089614C">
            <w:pPr>
              <w:pStyle w:val="criteriatableheading"/>
            </w:pPr>
          </w:p>
        </w:tc>
        <w:tc>
          <w:tcPr>
            <w:tcW w:w="1490" w:type="pct"/>
            <w:tcBorders>
              <w:top w:val="nil"/>
              <w:left w:val="single" w:sz="4" w:space="0" w:color="auto"/>
              <w:bottom w:val="single" w:sz="4" w:space="0" w:color="auto"/>
              <w:right w:val="single" w:sz="4" w:space="0" w:color="auto"/>
            </w:tcBorders>
          </w:tcPr>
          <w:p w14:paraId="31C5C265" w14:textId="77777777" w:rsidR="003223DF" w:rsidRDefault="003223DF" w:rsidP="0089614C">
            <w:pPr>
              <w:rPr>
                <w:b/>
              </w:rPr>
            </w:pPr>
            <w:r>
              <w:rPr>
                <w:b/>
              </w:rPr>
              <w:t>Question 3</w:t>
            </w:r>
          </w:p>
          <w:p w14:paraId="0ABF6959" w14:textId="03D47394" w:rsidR="003223DF" w:rsidRDefault="003223DF" w:rsidP="0089614C">
            <w:r>
              <w:t xml:space="preserve">An explanation of the role of the following in contributing to parliamentary sovereignty is required for </w:t>
            </w:r>
            <w:r w:rsidR="0072420E">
              <w:t>A</w:t>
            </w:r>
            <w:r>
              <w:t>chieved</w:t>
            </w:r>
            <w:r w:rsidR="0072420E">
              <w:t>,</w:t>
            </w:r>
            <w:r>
              <w:t xml:space="preserve"> e.g.</w:t>
            </w:r>
          </w:p>
          <w:p w14:paraId="6C3927D6" w14:textId="77777777" w:rsidR="003223DF" w:rsidRPr="00A4018D" w:rsidRDefault="003223DF" w:rsidP="0089614C">
            <w:pPr>
              <w:rPr>
                <w:i/>
                <w:iCs/>
              </w:rPr>
            </w:pPr>
            <w:r>
              <w:rPr>
                <w:i/>
              </w:rPr>
              <w:t xml:space="preserve">Magna Carta – beginning of the move of sovereignty from King to </w:t>
            </w:r>
            <w:r>
              <w:rPr>
                <w:i/>
              </w:rPr>
              <w:lastRenderedPageBreak/>
              <w:t xml:space="preserve">Parliament. Te </w:t>
            </w:r>
            <w:proofErr w:type="spellStart"/>
            <w:r>
              <w:rPr>
                <w:i/>
              </w:rPr>
              <w:t>Tiriti</w:t>
            </w:r>
            <w:proofErr w:type="spellEnd"/>
            <w:r>
              <w:rPr>
                <w:i/>
              </w:rPr>
              <w:t xml:space="preserve"> o Waitangi – brought British governance to NZ.</w:t>
            </w:r>
          </w:p>
          <w:p w14:paraId="67BA38E5" w14:textId="2D569CEC" w:rsidR="003223DF" w:rsidRPr="00A4018D" w:rsidRDefault="003223DF" w:rsidP="0089614C">
            <w:pPr>
              <w:rPr>
                <w:rFonts w:eastAsia="Inter" w:cs="Inter"/>
                <w:szCs w:val="22"/>
              </w:rPr>
            </w:pPr>
            <w:r w:rsidRPr="7A69F6F7">
              <w:rPr>
                <w:rFonts w:eastAsia="Inter" w:cs="Inter"/>
                <w:b/>
                <w:bCs/>
                <w:szCs w:val="22"/>
              </w:rPr>
              <w:t xml:space="preserve">Note – </w:t>
            </w:r>
            <w:proofErr w:type="spellStart"/>
            <w:r w:rsidR="00A877A1">
              <w:rPr>
                <w:rFonts w:eastAsia="Inter" w:cs="Inter"/>
                <w:szCs w:val="22"/>
              </w:rPr>
              <w:t>ākonga</w:t>
            </w:r>
            <w:proofErr w:type="spellEnd"/>
            <w:r w:rsidR="00A877A1">
              <w:rPr>
                <w:rFonts w:eastAsia="Inter" w:cs="Inter"/>
                <w:szCs w:val="22"/>
              </w:rPr>
              <w:t>/learner</w:t>
            </w:r>
            <w:r w:rsidRPr="7A69F6F7">
              <w:rPr>
                <w:rFonts w:eastAsia="Inter" w:cs="Inter"/>
                <w:szCs w:val="22"/>
              </w:rPr>
              <w:t xml:space="preserve">s would need to </w:t>
            </w:r>
            <w:r w:rsidRPr="7A69F6F7">
              <w:rPr>
                <w:rFonts w:eastAsia="Inter" w:cs="Inter"/>
                <w:b/>
                <w:bCs/>
                <w:szCs w:val="22"/>
              </w:rPr>
              <w:t xml:space="preserve">identify an actual example </w:t>
            </w:r>
            <w:r w:rsidRPr="7A69F6F7">
              <w:rPr>
                <w:rFonts w:eastAsia="Inter" w:cs="Inter"/>
                <w:szCs w:val="22"/>
              </w:rPr>
              <w:t>from New Zealand</w:t>
            </w:r>
            <w:r w:rsidR="00E1425D">
              <w:rPr>
                <w:rFonts w:eastAsia="Inter" w:cs="Inter"/>
                <w:szCs w:val="22"/>
              </w:rPr>
              <w:t xml:space="preserve"> </w:t>
            </w:r>
            <w:r w:rsidRPr="7A69F6F7">
              <w:rPr>
                <w:rFonts w:eastAsia="Inter" w:cs="Inter"/>
                <w:szCs w:val="22"/>
              </w:rPr>
              <w:t xml:space="preserve">for an </w:t>
            </w:r>
            <w:r w:rsidR="00E1425D">
              <w:rPr>
                <w:rFonts w:eastAsia="Inter" w:cs="Inter"/>
                <w:szCs w:val="22"/>
              </w:rPr>
              <w:t>A</w:t>
            </w:r>
            <w:r w:rsidRPr="7A69F6F7">
              <w:rPr>
                <w:rFonts w:eastAsia="Inter" w:cs="Inter"/>
                <w:szCs w:val="22"/>
              </w:rPr>
              <w:t>chieved grade.</w:t>
            </w:r>
          </w:p>
        </w:tc>
        <w:tc>
          <w:tcPr>
            <w:tcW w:w="1490" w:type="pct"/>
            <w:tcBorders>
              <w:top w:val="nil"/>
              <w:left w:val="single" w:sz="4" w:space="0" w:color="auto"/>
              <w:bottom w:val="single" w:sz="4" w:space="0" w:color="auto"/>
              <w:right w:val="single" w:sz="4" w:space="0" w:color="auto"/>
            </w:tcBorders>
          </w:tcPr>
          <w:p w14:paraId="6E25A8A4" w14:textId="12818A21" w:rsidR="003223DF" w:rsidRPr="003F73CB" w:rsidRDefault="003223DF" w:rsidP="0089614C">
            <w:r>
              <w:lastRenderedPageBreak/>
              <w:t xml:space="preserve">The </w:t>
            </w:r>
            <w:proofErr w:type="spellStart"/>
            <w:r w:rsidR="00A877A1">
              <w:t>ākonga</w:t>
            </w:r>
            <w:proofErr w:type="spellEnd"/>
            <w:r w:rsidR="00A877A1">
              <w:t>/learner</w:t>
            </w:r>
            <w:r>
              <w:t>’s explanation of parliamentary sovereignty is developed by including relevant supporting detail</w:t>
            </w:r>
            <w:r w:rsidR="0072420E">
              <w:t>,</w:t>
            </w:r>
            <w:r>
              <w:t xml:space="preserve"> e.g. a media report.</w:t>
            </w:r>
          </w:p>
        </w:tc>
        <w:tc>
          <w:tcPr>
            <w:tcW w:w="1489" w:type="pct"/>
            <w:tcBorders>
              <w:top w:val="nil"/>
              <w:left w:val="single" w:sz="4" w:space="0" w:color="auto"/>
              <w:bottom w:val="single" w:sz="4" w:space="0" w:color="auto"/>
              <w:right w:val="single" w:sz="4" w:space="0" w:color="auto"/>
            </w:tcBorders>
          </w:tcPr>
          <w:p w14:paraId="35C39AA8" w14:textId="77777777" w:rsidR="003223DF" w:rsidRDefault="003223DF" w:rsidP="0089614C"/>
        </w:tc>
      </w:tr>
    </w:tbl>
    <w:p w14:paraId="27230473" w14:textId="77777777" w:rsidR="00DE4426" w:rsidRDefault="00DE4426" w:rsidP="00DD30BE"/>
    <w:p w14:paraId="0B32A31A"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2"/>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E58E85" w14:textId="77777777" w:rsidR="00452F70" w:rsidRDefault="00452F70" w:rsidP="00212C53">
      <w:r>
        <w:separator/>
      </w:r>
    </w:p>
  </w:endnote>
  <w:endnote w:type="continuationSeparator" w:id="0">
    <w:p w14:paraId="67AEBD5F" w14:textId="77777777" w:rsidR="00452F70" w:rsidRDefault="00452F70"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6B23957D"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2ABFEA"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64105"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20993502" w14:textId="41D6D8DA" w:rsidR="00D14F3A" w:rsidRDefault="00EC54A9" w:rsidP="00EE39FF">
    <w:pPr>
      <w:pStyle w:val="Footer"/>
      <w:ind w:right="360"/>
      <w:jc w:val="right"/>
    </w:pPr>
    <w:r>
      <w:t>27836</w:t>
    </w:r>
    <w:r w:rsidR="000123E2">
      <w:t xml:space="preserve"> Assessor Guidelines (Version 3) </w:t>
    </w:r>
    <w:r w:rsidR="000123E2">
      <w:tab/>
    </w:r>
    <w:r w:rsidR="00E60F8F">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503BD"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24BD2E99"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08B15B42" w14:textId="0DB584B4" w:rsidR="001D1125" w:rsidRPr="001D1125" w:rsidRDefault="00EC54A9" w:rsidP="00EE39FF">
    <w:pPr>
      <w:pStyle w:val="Footer"/>
      <w:ind w:right="360"/>
      <w:jc w:val="right"/>
    </w:pPr>
    <w:r>
      <w:t>27836</w:t>
    </w:r>
    <w:r w:rsidR="000123E2">
      <w:t xml:space="preserve"> </w:t>
    </w:r>
    <w:r w:rsidR="000D5D7D">
      <w:t>Assessor Guidelines</w:t>
    </w:r>
    <w:r w:rsidR="008C5F06">
      <w:t xml:space="preserve"> </w:t>
    </w:r>
    <w:r w:rsidR="00A53971">
      <w:t>(Version 3)</w:t>
    </w:r>
    <w:r w:rsidR="00A53971">
      <w:tab/>
    </w:r>
    <w:r w:rsidR="00CA0BDB" w:rsidRPr="00CA0BDB">
      <w:t>December</w:t>
    </w:r>
    <w:r w:rsidR="000D5D7D" w:rsidRPr="00CA0BDB">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5C15C" w14:textId="77777777"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2447C668" w14:textId="50CE7406" w:rsidR="00DF277B" w:rsidRPr="001D1125" w:rsidRDefault="00EC54A9" w:rsidP="00EE39FF">
    <w:pPr>
      <w:pStyle w:val="Footer"/>
      <w:ind w:right="360"/>
      <w:jc w:val="right"/>
    </w:pPr>
    <w:r>
      <w:t>27836</w:t>
    </w:r>
    <w:r w:rsidR="00DF277B">
      <w:t xml:space="preserve"> Assessor Guidelines (Version 3)</w:t>
    </w:r>
    <w:r w:rsidR="00DF277B">
      <w:tab/>
    </w:r>
    <w:r w:rsidR="00E60F8F">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135CE" w14:textId="77777777" w:rsidR="00452F70" w:rsidRDefault="00452F70" w:rsidP="00212C53">
      <w:r>
        <w:separator/>
      </w:r>
    </w:p>
  </w:footnote>
  <w:footnote w:type="continuationSeparator" w:id="0">
    <w:p w14:paraId="64B1ACCB" w14:textId="77777777" w:rsidR="00452F70" w:rsidRDefault="00452F70"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56530" w14:textId="77777777" w:rsidR="00160071" w:rsidRDefault="0086703C" w:rsidP="00212C53">
    <w:pPr>
      <w:pStyle w:val="Header"/>
    </w:pPr>
    <w:r>
      <w:rPr>
        <w:noProof/>
      </w:rPr>
      <w:drawing>
        <wp:anchor distT="0" distB="0" distL="114300" distR="114300" simplePos="0" relativeHeight="251675648" behindDoc="1" locked="0" layoutInCell="1" allowOverlap="1" wp14:anchorId="748BFF3F" wp14:editId="39CC1BA8">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664DDAF7" wp14:editId="53D614E3">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02487"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2879B"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56EC3C87" wp14:editId="3FDAEEBE">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2B33E3C0"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6E383"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40B3149"/>
    <w:multiLevelType w:val="hybridMultilevel"/>
    <w:tmpl w:val="FEB0736E"/>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3"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4"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5" w15:restartNumberingAfterBreak="0">
    <w:nsid w:val="1AEF78F1"/>
    <w:multiLevelType w:val="hybridMultilevel"/>
    <w:tmpl w:val="149ABBB6"/>
    <w:lvl w:ilvl="0" w:tplc="E0EC4244">
      <w:start w:val="1"/>
      <w:numFmt w:val="lowerLetter"/>
      <w:lvlText w:val="%1)"/>
      <w:lvlJc w:val="left"/>
      <w:pPr>
        <w:ind w:left="465" w:hanging="358"/>
      </w:pPr>
      <w:rPr>
        <w:rFonts w:ascii="Arial" w:eastAsia="Arial" w:hAnsi="Arial" w:cs="Arial" w:hint="default"/>
        <w:spacing w:val="-1"/>
        <w:w w:val="100"/>
        <w:sz w:val="22"/>
        <w:szCs w:val="22"/>
        <w:lang w:val="en-NZ" w:eastAsia="en-US" w:bidi="ar-SA"/>
      </w:rPr>
    </w:lvl>
    <w:lvl w:ilvl="1" w:tplc="B75612E4">
      <w:numFmt w:val="bullet"/>
      <w:lvlText w:val="•"/>
      <w:lvlJc w:val="left"/>
      <w:pPr>
        <w:ind w:left="824" w:hanging="358"/>
      </w:pPr>
      <w:rPr>
        <w:rFonts w:hint="default"/>
        <w:lang w:val="en-NZ" w:eastAsia="en-US" w:bidi="ar-SA"/>
      </w:rPr>
    </w:lvl>
    <w:lvl w:ilvl="2" w:tplc="0900AC22">
      <w:numFmt w:val="bullet"/>
      <w:lvlText w:val="•"/>
      <w:lvlJc w:val="left"/>
      <w:pPr>
        <w:ind w:left="1189" w:hanging="358"/>
      </w:pPr>
      <w:rPr>
        <w:rFonts w:hint="default"/>
        <w:lang w:val="en-NZ" w:eastAsia="en-US" w:bidi="ar-SA"/>
      </w:rPr>
    </w:lvl>
    <w:lvl w:ilvl="3" w:tplc="49547AD2">
      <w:numFmt w:val="bullet"/>
      <w:lvlText w:val="•"/>
      <w:lvlJc w:val="left"/>
      <w:pPr>
        <w:ind w:left="1553" w:hanging="358"/>
      </w:pPr>
      <w:rPr>
        <w:rFonts w:hint="default"/>
        <w:lang w:val="en-NZ" w:eastAsia="en-US" w:bidi="ar-SA"/>
      </w:rPr>
    </w:lvl>
    <w:lvl w:ilvl="4" w:tplc="3B9E6628">
      <w:numFmt w:val="bullet"/>
      <w:lvlText w:val="•"/>
      <w:lvlJc w:val="left"/>
      <w:pPr>
        <w:ind w:left="1918" w:hanging="358"/>
      </w:pPr>
      <w:rPr>
        <w:rFonts w:hint="default"/>
        <w:lang w:val="en-NZ" w:eastAsia="en-US" w:bidi="ar-SA"/>
      </w:rPr>
    </w:lvl>
    <w:lvl w:ilvl="5" w:tplc="615451F6">
      <w:numFmt w:val="bullet"/>
      <w:lvlText w:val="•"/>
      <w:lvlJc w:val="left"/>
      <w:pPr>
        <w:ind w:left="2282" w:hanging="358"/>
      </w:pPr>
      <w:rPr>
        <w:rFonts w:hint="default"/>
        <w:lang w:val="en-NZ" w:eastAsia="en-US" w:bidi="ar-SA"/>
      </w:rPr>
    </w:lvl>
    <w:lvl w:ilvl="6" w:tplc="E42E3DB0">
      <w:numFmt w:val="bullet"/>
      <w:lvlText w:val="•"/>
      <w:lvlJc w:val="left"/>
      <w:pPr>
        <w:ind w:left="2647" w:hanging="358"/>
      </w:pPr>
      <w:rPr>
        <w:rFonts w:hint="default"/>
        <w:lang w:val="en-NZ" w:eastAsia="en-US" w:bidi="ar-SA"/>
      </w:rPr>
    </w:lvl>
    <w:lvl w:ilvl="7" w:tplc="E258E372">
      <w:numFmt w:val="bullet"/>
      <w:lvlText w:val="•"/>
      <w:lvlJc w:val="left"/>
      <w:pPr>
        <w:ind w:left="3011" w:hanging="358"/>
      </w:pPr>
      <w:rPr>
        <w:rFonts w:hint="default"/>
        <w:lang w:val="en-NZ" w:eastAsia="en-US" w:bidi="ar-SA"/>
      </w:rPr>
    </w:lvl>
    <w:lvl w:ilvl="8" w:tplc="3D9AB11C">
      <w:numFmt w:val="bullet"/>
      <w:lvlText w:val="•"/>
      <w:lvlJc w:val="left"/>
      <w:pPr>
        <w:ind w:left="3376" w:hanging="358"/>
      </w:pPr>
      <w:rPr>
        <w:rFonts w:hint="default"/>
        <w:lang w:val="en-NZ" w:eastAsia="en-US" w:bidi="ar-SA"/>
      </w:rPr>
    </w:lvl>
  </w:abstractNum>
  <w:abstractNum w:abstractNumId="6"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8" w15:restartNumberingAfterBreak="0">
    <w:nsid w:val="27B867F7"/>
    <w:multiLevelType w:val="hybridMultilevel"/>
    <w:tmpl w:val="C2861AC4"/>
    <w:lvl w:ilvl="0" w:tplc="FFFFFFFF">
      <w:start w:val="1"/>
      <w:numFmt w:val="bullet"/>
      <w:lvlText w:val=""/>
      <w:lvlJc w:val="left"/>
      <w:pPr>
        <w:ind w:left="720" w:hanging="360"/>
      </w:pPr>
      <w:rPr>
        <w:rFonts w:ascii="Symbol" w:hAnsi="Symbol" w:hint="default"/>
      </w:rPr>
    </w:lvl>
    <w:lvl w:ilvl="1" w:tplc="1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10" w15:restartNumberingAfterBreak="0">
    <w:nsid w:val="403A1FD7"/>
    <w:multiLevelType w:val="hybridMultilevel"/>
    <w:tmpl w:val="48FC6FC8"/>
    <w:lvl w:ilvl="0" w:tplc="A476B4A6">
      <w:numFmt w:val="bullet"/>
      <w:lvlText w:val=""/>
      <w:lvlJc w:val="left"/>
      <w:pPr>
        <w:ind w:left="468" w:hanging="358"/>
      </w:pPr>
      <w:rPr>
        <w:rFonts w:ascii="Symbol" w:eastAsia="Symbol" w:hAnsi="Symbol" w:cs="Symbol" w:hint="default"/>
        <w:w w:val="100"/>
        <w:sz w:val="22"/>
        <w:szCs w:val="22"/>
        <w:lang w:val="en-NZ" w:eastAsia="en-US" w:bidi="ar-SA"/>
      </w:rPr>
    </w:lvl>
    <w:lvl w:ilvl="1" w:tplc="D28E1E1E">
      <w:numFmt w:val="bullet"/>
      <w:lvlText w:val="•"/>
      <w:lvlJc w:val="left"/>
      <w:pPr>
        <w:ind w:left="851" w:hanging="358"/>
      </w:pPr>
      <w:rPr>
        <w:rFonts w:hint="default"/>
        <w:lang w:val="en-NZ" w:eastAsia="en-US" w:bidi="ar-SA"/>
      </w:rPr>
    </w:lvl>
    <w:lvl w:ilvl="2" w:tplc="D58E63BE">
      <w:numFmt w:val="bullet"/>
      <w:lvlText w:val="•"/>
      <w:lvlJc w:val="left"/>
      <w:pPr>
        <w:ind w:left="1242" w:hanging="358"/>
      </w:pPr>
      <w:rPr>
        <w:rFonts w:hint="default"/>
        <w:lang w:val="en-NZ" w:eastAsia="en-US" w:bidi="ar-SA"/>
      </w:rPr>
    </w:lvl>
    <w:lvl w:ilvl="3" w:tplc="CF267242">
      <w:numFmt w:val="bullet"/>
      <w:lvlText w:val="•"/>
      <w:lvlJc w:val="left"/>
      <w:pPr>
        <w:ind w:left="1634" w:hanging="358"/>
      </w:pPr>
      <w:rPr>
        <w:rFonts w:hint="default"/>
        <w:lang w:val="en-NZ" w:eastAsia="en-US" w:bidi="ar-SA"/>
      </w:rPr>
    </w:lvl>
    <w:lvl w:ilvl="4" w:tplc="F3081A82">
      <w:numFmt w:val="bullet"/>
      <w:lvlText w:val="•"/>
      <w:lvlJc w:val="left"/>
      <w:pPr>
        <w:ind w:left="2025" w:hanging="358"/>
      </w:pPr>
      <w:rPr>
        <w:rFonts w:hint="default"/>
        <w:lang w:val="en-NZ" w:eastAsia="en-US" w:bidi="ar-SA"/>
      </w:rPr>
    </w:lvl>
    <w:lvl w:ilvl="5" w:tplc="409AB518">
      <w:numFmt w:val="bullet"/>
      <w:lvlText w:val="•"/>
      <w:lvlJc w:val="left"/>
      <w:pPr>
        <w:ind w:left="2417" w:hanging="358"/>
      </w:pPr>
      <w:rPr>
        <w:rFonts w:hint="default"/>
        <w:lang w:val="en-NZ" w:eastAsia="en-US" w:bidi="ar-SA"/>
      </w:rPr>
    </w:lvl>
    <w:lvl w:ilvl="6" w:tplc="D042FAF0">
      <w:numFmt w:val="bullet"/>
      <w:lvlText w:val="•"/>
      <w:lvlJc w:val="left"/>
      <w:pPr>
        <w:ind w:left="2808" w:hanging="358"/>
      </w:pPr>
      <w:rPr>
        <w:rFonts w:hint="default"/>
        <w:lang w:val="en-NZ" w:eastAsia="en-US" w:bidi="ar-SA"/>
      </w:rPr>
    </w:lvl>
    <w:lvl w:ilvl="7" w:tplc="4EA69E5A">
      <w:numFmt w:val="bullet"/>
      <w:lvlText w:val="•"/>
      <w:lvlJc w:val="left"/>
      <w:pPr>
        <w:ind w:left="3199" w:hanging="358"/>
      </w:pPr>
      <w:rPr>
        <w:rFonts w:hint="default"/>
        <w:lang w:val="en-NZ" w:eastAsia="en-US" w:bidi="ar-SA"/>
      </w:rPr>
    </w:lvl>
    <w:lvl w:ilvl="8" w:tplc="5868E218">
      <w:numFmt w:val="bullet"/>
      <w:lvlText w:val="•"/>
      <w:lvlJc w:val="left"/>
      <w:pPr>
        <w:ind w:left="3591" w:hanging="358"/>
      </w:pPr>
      <w:rPr>
        <w:rFonts w:hint="default"/>
        <w:lang w:val="en-NZ" w:eastAsia="en-US" w:bidi="ar-SA"/>
      </w:rPr>
    </w:lvl>
  </w:abstractNum>
  <w:abstractNum w:abstractNumId="11" w15:restartNumberingAfterBreak="0">
    <w:nsid w:val="43F95AB5"/>
    <w:multiLevelType w:val="hybridMultilevel"/>
    <w:tmpl w:val="311C59FA"/>
    <w:lvl w:ilvl="0" w:tplc="59580B42">
      <w:numFmt w:val="bullet"/>
      <w:lvlText w:val=""/>
      <w:lvlJc w:val="left"/>
      <w:pPr>
        <w:ind w:left="466" w:hanging="358"/>
      </w:pPr>
      <w:rPr>
        <w:rFonts w:ascii="Symbol" w:eastAsia="Symbol" w:hAnsi="Symbol" w:cs="Symbol" w:hint="default"/>
        <w:w w:val="100"/>
        <w:sz w:val="22"/>
        <w:szCs w:val="22"/>
        <w:lang w:val="en-NZ" w:eastAsia="en-US" w:bidi="ar-SA"/>
      </w:rPr>
    </w:lvl>
    <w:lvl w:ilvl="1" w:tplc="263AE15C">
      <w:numFmt w:val="bullet"/>
      <w:lvlText w:val="•"/>
      <w:lvlJc w:val="left"/>
      <w:pPr>
        <w:ind w:left="883" w:hanging="358"/>
      </w:pPr>
      <w:rPr>
        <w:rFonts w:hint="default"/>
        <w:lang w:val="en-NZ" w:eastAsia="en-US" w:bidi="ar-SA"/>
      </w:rPr>
    </w:lvl>
    <w:lvl w:ilvl="2" w:tplc="4434FE56">
      <w:numFmt w:val="bullet"/>
      <w:lvlText w:val="•"/>
      <w:lvlJc w:val="left"/>
      <w:pPr>
        <w:ind w:left="1306" w:hanging="358"/>
      </w:pPr>
      <w:rPr>
        <w:rFonts w:hint="default"/>
        <w:lang w:val="en-NZ" w:eastAsia="en-US" w:bidi="ar-SA"/>
      </w:rPr>
    </w:lvl>
    <w:lvl w:ilvl="3" w:tplc="C71AAA6A">
      <w:numFmt w:val="bullet"/>
      <w:lvlText w:val="•"/>
      <w:lvlJc w:val="left"/>
      <w:pPr>
        <w:ind w:left="1729" w:hanging="358"/>
      </w:pPr>
      <w:rPr>
        <w:rFonts w:hint="default"/>
        <w:lang w:val="en-NZ" w:eastAsia="en-US" w:bidi="ar-SA"/>
      </w:rPr>
    </w:lvl>
    <w:lvl w:ilvl="4" w:tplc="28A6F58C">
      <w:numFmt w:val="bullet"/>
      <w:lvlText w:val="•"/>
      <w:lvlJc w:val="left"/>
      <w:pPr>
        <w:ind w:left="2152" w:hanging="358"/>
      </w:pPr>
      <w:rPr>
        <w:rFonts w:hint="default"/>
        <w:lang w:val="en-NZ" w:eastAsia="en-US" w:bidi="ar-SA"/>
      </w:rPr>
    </w:lvl>
    <w:lvl w:ilvl="5" w:tplc="967A63FA">
      <w:numFmt w:val="bullet"/>
      <w:lvlText w:val="•"/>
      <w:lvlJc w:val="left"/>
      <w:pPr>
        <w:ind w:left="2575" w:hanging="358"/>
      </w:pPr>
      <w:rPr>
        <w:rFonts w:hint="default"/>
        <w:lang w:val="en-NZ" w:eastAsia="en-US" w:bidi="ar-SA"/>
      </w:rPr>
    </w:lvl>
    <w:lvl w:ilvl="6" w:tplc="F0D48FFC">
      <w:numFmt w:val="bullet"/>
      <w:lvlText w:val="•"/>
      <w:lvlJc w:val="left"/>
      <w:pPr>
        <w:ind w:left="2998" w:hanging="358"/>
      </w:pPr>
      <w:rPr>
        <w:rFonts w:hint="default"/>
        <w:lang w:val="en-NZ" w:eastAsia="en-US" w:bidi="ar-SA"/>
      </w:rPr>
    </w:lvl>
    <w:lvl w:ilvl="7" w:tplc="27CAB660">
      <w:numFmt w:val="bullet"/>
      <w:lvlText w:val="•"/>
      <w:lvlJc w:val="left"/>
      <w:pPr>
        <w:ind w:left="3421" w:hanging="358"/>
      </w:pPr>
      <w:rPr>
        <w:rFonts w:hint="default"/>
        <w:lang w:val="en-NZ" w:eastAsia="en-US" w:bidi="ar-SA"/>
      </w:rPr>
    </w:lvl>
    <w:lvl w:ilvl="8" w:tplc="14A2D0CA">
      <w:numFmt w:val="bullet"/>
      <w:lvlText w:val="•"/>
      <w:lvlJc w:val="left"/>
      <w:pPr>
        <w:ind w:left="3844" w:hanging="358"/>
      </w:pPr>
      <w:rPr>
        <w:rFonts w:hint="default"/>
        <w:lang w:val="en-NZ" w:eastAsia="en-US" w:bidi="ar-SA"/>
      </w:rPr>
    </w:lvl>
  </w:abstractNum>
  <w:abstractNum w:abstractNumId="12" w15:restartNumberingAfterBreak="0">
    <w:nsid w:val="47DA41E5"/>
    <w:multiLevelType w:val="hybridMultilevel"/>
    <w:tmpl w:val="13A61A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4"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5"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52752652">
    <w:abstractNumId w:val="4"/>
  </w:num>
  <w:num w:numId="2" w16cid:durableId="1757289451">
    <w:abstractNumId w:val="3"/>
  </w:num>
  <w:num w:numId="3" w16cid:durableId="1892644055">
    <w:abstractNumId w:val="6"/>
  </w:num>
  <w:num w:numId="4" w16cid:durableId="1519078603">
    <w:abstractNumId w:val="13"/>
  </w:num>
  <w:num w:numId="5" w16cid:durableId="1277712777">
    <w:abstractNumId w:val="2"/>
  </w:num>
  <w:num w:numId="6" w16cid:durableId="1187595443">
    <w:abstractNumId w:val="14"/>
  </w:num>
  <w:num w:numId="7" w16cid:durableId="791745894">
    <w:abstractNumId w:val="9"/>
  </w:num>
  <w:num w:numId="8" w16cid:durableId="268662088">
    <w:abstractNumId w:val="0"/>
  </w:num>
  <w:num w:numId="9" w16cid:durableId="1100564826">
    <w:abstractNumId w:val="7"/>
  </w:num>
  <w:num w:numId="10" w16cid:durableId="271321859">
    <w:abstractNumId w:val="15"/>
  </w:num>
  <w:num w:numId="11" w16cid:durableId="1649166729">
    <w:abstractNumId w:val="12"/>
  </w:num>
  <w:num w:numId="12" w16cid:durableId="767192997">
    <w:abstractNumId w:val="8"/>
  </w:num>
  <w:num w:numId="13" w16cid:durableId="26151996">
    <w:abstractNumId w:val="1"/>
  </w:num>
  <w:num w:numId="14" w16cid:durableId="1348021335">
    <w:abstractNumId w:val="5"/>
  </w:num>
  <w:num w:numId="15" w16cid:durableId="855851324">
    <w:abstractNumId w:val="10"/>
  </w:num>
  <w:num w:numId="16" w16cid:durableId="6011817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70"/>
    <w:rsid w:val="000033E1"/>
    <w:rsid w:val="000123E2"/>
    <w:rsid w:val="0007200A"/>
    <w:rsid w:val="000A6A25"/>
    <w:rsid w:val="000C393E"/>
    <w:rsid w:val="000D22C4"/>
    <w:rsid w:val="000D381C"/>
    <w:rsid w:val="000D5D7D"/>
    <w:rsid w:val="000F014C"/>
    <w:rsid w:val="000F6132"/>
    <w:rsid w:val="00115B38"/>
    <w:rsid w:val="001302E9"/>
    <w:rsid w:val="001303C5"/>
    <w:rsid w:val="00131918"/>
    <w:rsid w:val="00160071"/>
    <w:rsid w:val="00160913"/>
    <w:rsid w:val="00180B75"/>
    <w:rsid w:val="00180FFE"/>
    <w:rsid w:val="001963B2"/>
    <w:rsid w:val="001A07D9"/>
    <w:rsid w:val="001B2905"/>
    <w:rsid w:val="001B420C"/>
    <w:rsid w:val="001B6BD1"/>
    <w:rsid w:val="001D1125"/>
    <w:rsid w:val="002030CB"/>
    <w:rsid w:val="00212C53"/>
    <w:rsid w:val="0022101F"/>
    <w:rsid w:val="00226569"/>
    <w:rsid w:val="00232EB6"/>
    <w:rsid w:val="00235FFE"/>
    <w:rsid w:val="00236EB9"/>
    <w:rsid w:val="00254D5D"/>
    <w:rsid w:val="002704D3"/>
    <w:rsid w:val="00280FD9"/>
    <w:rsid w:val="002961AC"/>
    <w:rsid w:val="002C0B6E"/>
    <w:rsid w:val="002D503F"/>
    <w:rsid w:val="002E45CD"/>
    <w:rsid w:val="002E51C3"/>
    <w:rsid w:val="00321E8C"/>
    <w:rsid w:val="003223DF"/>
    <w:rsid w:val="00332275"/>
    <w:rsid w:val="003426DB"/>
    <w:rsid w:val="0034462F"/>
    <w:rsid w:val="003465C7"/>
    <w:rsid w:val="003554EB"/>
    <w:rsid w:val="00363FDB"/>
    <w:rsid w:val="003A20C7"/>
    <w:rsid w:val="003B2A4E"/>
    <w:rsid w:val="003B309B"/>
    <w:rsid w:val="003B690D"/>
    <w:rsid w:val="003E0A39"/>
    <w:rsid w:val="003E2601"/>
    <w:rsid w:val="003F2386"/>
    <w:rsid w:val="003F73CB"/>
    <w:rsid w:val="00420EA1"/>
    <w:rsid w:val="004234C1"/>
    <w:rsid w:val="00424F46"/>
    <w:rsid w:val="0043721A"/>
    <w:rsid w:val="00437279"/>
    <w:rsid w:val="00452F70"/>
    <w:rsid w:val="00474691"/>
    <w:rsid w:val="00494963"/>
    <w:rsid w:val="004D6227"/>
    <w:rsid w:val="004E7C97"/>
    <w:rsid w:val="004F5058"/>
    <w:rsid w:val="005015C0"/>
    <w:rsid w:val="00530F18"/>
    <w:rsid w:val="00536619"/>
    <w:rsid w:val="0056100E"/>
    <w:rsid w:val="005644CB"/>
    <w:rsid w:val="0058397A"/>
    <w:rsid w:val="005A09BF"/>
    <w:rsid w:val="005C77DB"/>
    <w:rsid w:val="005D7894"/>
    <w:rsid w:val="005D7DD5"/>
    <w:rsid w:val="005F24DB"/>
    <w:rsid w:val="006212B8"/>
    <w:rsid w:val="00624C3A"/>
    <w:rsid w:val="00627747"/>
    <w:rsid w:val="00644755"/>
    <w:rsid w:val="00651EB9"/>
    <w:rsid w:val="00692343"/>
    <w:rsid w:val="006A4EEE"/>
    <w:rsid w:val="006B171A"/>
    <w:rsid w:val="006C0AAD"/>
    <w:rsid w:val="006F1959"/>
    <w:rsid w:val="006F23A1"/>
    <w:rsid w:val="0071155A"/>
    <w:rsid w:val="007166A6"/>
    <w:rsid w:val="0072420E"/>
    <w:rsid w:val="0075027C"/>
    <w:rsid w:val="0075088E"/>
    <w:rsid w:val="00756588"/>
    <w:rsid w:val="0076628A"/>
    <w:rsid w:val="00770474"/>
    <w:rsid w:val="007775D7"/>
    <w:rsid w:val="007823F7"/>
    <w:rsid w:val="00782909"/>
    <w:rsid w:val="0078373C"/>
    <w:rsid w:val="00783933"/>
    <w:rsid w:val="007844FA"/>
    <w:rsid w:val="0078728E"/>
    <w:rsid w:val="007C5210"/>
    <w:rsid w:val="007D54A6"/>
    <w:rsid w:val="007D7AD0"/>
    <w:rsid w:val="007E7E7D"/>
    <w:rsid w:val="007F0A54"/>
    <w:rsid w:val="007F6590"/>
    <w:rsid w:val="00813834"/>
    <w:rsid w:val="008315C7"/>
    <w:rsid w:val="00851D3B"/>
    <w:rsid w:val="008520F9"/>
    <w:rsid w:val="0086703C"/>
    <w:rsid w:val="00873EEC"/>
    <w:rsid w:val="00885350"/>
    <w:rsid w:val="008A142C"/>
    <w:rsid w:val="008C5F06"/>
    <w:rsid w:val="00900F2D"/>
    <w:rsid w:val="00966D59"/>
    <w:rsid w:val="00977610"/>
    <w:rsid w:val="009A530F"/>
    <w:rsid w:val="009B17EE"/>
    <w:rsid w:val="009C103E"/>
    <w:rsid w:val="009D4F75"/>
    <w:rsid w:val="009E7419"/>
    <w:rsid w:val="009E78FB"/>
    <w:rsid w:val="009F06AE"/>
    <w:rsid w:val="009F7B90"/>
    <w:rsid w:val="00A00ACF"/>
    <w:rsid w:val="00A01F7A"/>
    <w:rsid w:val="00A23523"/>
    <w:rsid w:val="00A40FA2"/>
    <w:rsid w:val="00A4191F"/>
    <w:rsid w:val="00A522E8"/>
    <w:rsid w:val="00A53971"/>
    <w:rsid w:val="00A81BBF"/>
    <w:rsid w:val="00A82964"/>
    <w:rsid w:val="00A85F2A"/>
    <w:rsid w:val="00A877A1"/>
    <w:rsid w:val="00AA7709"/>
    <w:rsid w:val="00AE319F"/>
    <w:rsid w:val="00AE5154"/>
    <w:rsid w:val="00AF5E87"/>
    <w:rsid w:val="00B23E50"/>
    <w:rsid w:val="00B7065A"/>
    <w:rsid w:val="00B75574"/>
    <w:rsid w:val="00B819D6"/>
    <w:rsid w:val="00BB3897"/>
    <w:rsid w:val="00BD305C"/>
    <w:rsid w:val="00BD74FD"/>
    <w:rsid w:val="00BF720D"/>
    <w:rsid w:val="00C025FA"/>
    <w:rsid w:val="00C10FC1"/>
    <w:rsid w:val="00C2443B"/>
    <w:rsid w:val="00C61736"/>
    <w:rsid w:val="00C646F8"/>
    <w:rsid w:val="00C65F53"/>
    <w:rsid w:val="00C6743D"/>
    <w:rsid w:val="00C70C3C"/>
    <w:rsid w:val="00C733E4"/>
    <w:rsid w:val="00C93D3C"/>
    <w:rsid w:val="00C94161"/>
    <w:rsid w:val="00C9729A"/>
    <w:rsid w:val="00CA0BDB"/>
    <w:rsid w:val="00CA56DD"/>
    <w:rsid w:val="00CB27A4"/>
    <w:rsid w:val="00CB6126"/>
    <w:rsid w:val="00CC62E8"/>
    <w:rsid w:val="00CF5396"/>
    <w:rsid w:val="00D0053D"/>
    <w:rsid w:val="00D10F8E"/>
    <w:rsid w:val="00D12473"/>
    <w:rsid w:val="00D14F3A"/>
    <w:rsid w:val="00D209A8"/>
    <w:rsid w:val="00D2708C"/>
    <w:rsid w:val="00D3015D"/>
    <w:rsid w:val="00D46826"/>
    <w:rsid w:val="00D60215"/>
    <w:rsid w:val="00D84BE7"/>
    <w:rsid w:val="00D85CEE"/>
    <w:rsid w:val="00D922B8"/>
    <w:rsid w:val="00DA4BE8"/>
    <w:rsid w:val="00DC3416"/>
    <w:rsid w:val="00DD30BE"/>
    <w:rsid w:val="00DE0921"/>
    <w:rsid w:val="00DE4426"/>
    <w:rsid w:val="00DF277B"/>
    <w:rsid w:val="00E1425D"/>
    <w:rsid w:val="00E305B5"/>
    <w:rsid w:val="00E34148"/>
    <w:rsid w:val="00E5065A"/>
    <w:rsid w:val="00E60F8F"/>
    <w:rsid w:val="00E66791"/>
    <w:rsid w:val="00E7580C"/>
    <w:rsid w:val="00E83F8F"/>
    <w:rsid w:val="00E86401"/>
    <w:rsid w:val="00E974FD"/>
    <w:rsid w:val="00EC42B2"/>
    <w:rsid w:val="00EC54A9"/>
    <w:rsid w:val="00EC626A"/>
    <w:rsid w:val="00EC7808"/>
    <w:rsid w:val="00EE39FF"/>
    <w:rsid w:val="00F10266"/>
    <w:rsid w:val="00F171AF"/>
    <w:rsid w:val="00F529FC"/>
    <w:rsid w:val="00F56D12"/>
    <w:rsid w:val="00F67967"/>
    <w:rsid w:val="00FC0057"/>
    <w:rsid w:val="00FC7B35"/>
    <w:rsid w:val="00FC7DEB"/>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67E17"/>
  <w15:chartTrackingRefBased/>
  <w15:docId w15:val="{BD047D80-B4E7-4DAD-A37C-F8B16E6B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1"/>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rliament.nz/en"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4"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yperlink" Target="https://www2.nzqa.govt.nz/tertiary/assessment-and-moderation-of-standards/assessment/resources/gathering-evidence-of-learner-achievement/"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niorsecondary.tki.org.nz/Social-sciences/Legal-studies"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B551AAD575535C4E93EAD64C62F9228B" ma:contentTypeVersion="66" ma:contentTypeDescription="Create a new document." ma:contentTypeScope="" ma:versionID="4fdbfff8e73bca7745137e01c642ff33">
  <xsd:schema xmlns:xsd="http://www.w3.org/2001/XMLSchema" xmlns:xs="http://www.w3.org/2001/XMLSchema" xmlns:p="http://schemas.microsoft.com/office/2006/metadata/properties" xmlns:ns2="6068b734-9082-4a39-a91f-7b5bc4a25c8f"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a5234b65-aa2e-4883-a945-9c100bdb229f" targetNamespace="http://schemas.microsoft.com/office/2006/metadata/properties" ma:root="true" ma:fieldsID="7919a91a4fc828b330697bff115f857b" ns2:_="" ns3:_="" ns4:_="" ns5:_="" ns6:_="" ns7:_="" ns8:_="" ns9:_="" ns10:_="">
    <xsd:import namespace="6068b734-9082-4a39-a91f-7b5bc4a25c8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a5234b65-aa2e-4883-a945-9c100bdb229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b734-9082-4a39-a91f-7b5bc4a25c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 ma:internalName="M_x0101_oriFunction">
      <xsd:simpleType>
        <xsd:restriction base="dms:Text">
          <xsd:maxLength value="255"/>
        </xsd:restriction>
      </xsd:simpleType>
    </xsd:element>
    <xsd:element name="TaxCatchAll" ma:index="59" nillable="true" ma:displayName="Taxonomy Catch All Column" ma:hidden="true" ma:list="{dfc664d3-a865-4cea-a734-884c35dad3b9}" ma:internalName="TaxCatchAll" ma:showField="CatchAllData" ma:web="6068b734-9082-4a39-a91f-7b5bc4a25c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EXT - National Qualifications Service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D03M"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a5234b65-aa2e-4883-a945-9c100bdb229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6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26252A-B2D9-46E0-A451-BD5D572E3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b734-9082-4a39-a91f-7b5bc4a25c8f"/>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a5234b65-aa2e-4883-a945-9c100bdb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46D899-28E6-4E2B-8D95-298E6A18248C}"/>
</file>

<file path=customXml/itemProps3.xml><?xml version="1.0" encoding="utf-8"?>
<ds:datastoreItem xmlns:ds="http://schemas.openxmlformats.org/officeDocument/2006/customXml" ds:itemID="{5CA24451-1488-4FEE-A820-5F94A80455EB}">
  <ds:schemaRefs>
    <ds:schemaRef ds:uri="http://schemas.microsoft.com/sharepoint/v3/contenttype/forms"/>
  </ds:schemaRefs>
</ds:datastoreItem>
</file>

<file path=customXml/itemProps4.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10</Pages>
  <Words>1483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48</cp:revision>
  <cp:lastPrinted>2023-12-04T02:23:00Z</cp:lastPrinted>
  <dcterms:created xsi:type="dcterms:W3CDTF">2024-11-25T21:56:00Z</dcterms:created>
  <dcterms:modified xsi:type="dcterms:W3CDTF">2024-12-16T20:40:00Z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20888174-a4a2-4387-8309-6f6de5e621ef</vt:lpwstr>
  </property>
</Properties>
</file>