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79D0E" w14:textId="77777777" w:rsidR="00530F18" w:rsidRDefault="00530F18" w:rsidP="00212C53"/>
    <w:p w14:paraId="49010CA2" w14:textId="0F352C71" w:rsidR="0075027C" w:rsidRPr="004B365D" w:rsidRDefault="00174C1E"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27D42C73" w14:textId="77777777" w:rsidTr="008A142C">
        <w:trPr>
          <w:trHeight w:val="425"/>
        </w:trPr>
        <w:tc>
          <w:tcPr>
            <w:tcW w:w="1985" w:type="dxa"/>
            <w:tcBorders>
              <w:right w:val="single" w:sz="4" w:space="0" w:color="auto"/>
            </w:tcBorders>
            <w:shd w:val="clear" w:color="auto" w:fill="F2F2F2" w:themeFill="background1" w:themeFillShade="F2"/>
            <w:vAlign w:val="center"/>
          </w:tcPr>
          <w:p w14:paraId="484E87EE"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07C19094" w14:textId="63B63F33" w:rsidR="005C77DB" w:rsidRPr="00644755" w:rsidRDefault="00174C1E" w:rsidP="000D22C4">
            <w:pPr>
              <w:rPr>
                <w:rFonts w:asciiTheme="minorHAnsi" w:hAnsiTheme="minorHAnsi"/>
              </w:rPr>
            </w:pPr>
            <w:r>
              <w:t>27845</w:t>
            </w:r>
          </w:p>
        </w:tc>
      </w:tr>
      <w:tr w:rsidR="005C77DB" w14:paraId="0ED094D6" w14:textId="77777777" w:rsidTr="008A142C">
        <w:trPr>
          <w:trHeight w:val="425"/>
        </w:trPr>
        <w:tc>
          <w:tcPr>
            <w:tcW w:w="1985" w:type="dxa"/>
            <w:shd w:val="clear" w:color="auto" w:fill="F2F2F2" w:themeFill="background1" w:themeFillShade="F2"/>
            <w:vAlign w:val="center"/>
          </w:tcPr>
          <w:p w14:paraId="11B9F17A"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2571838E" w14:textId="6E348F75" w:rsidR="005C77DB" w:rsidRPr="005F0638" w:rsidRDefault="00174C1E" w:rsidP="000D22C4">
            <w:r w:rsidRPr="005F0638">
              <w:rPr>
                <w:rStyle w:val="normaltextrun"/>
                <w:rFonts w:cs="Arial"/>
                <w:color w:val="000000"/>
                <w:szCs w:val="22"/>
                <w:shd w:val="clear" w:color="auto" w:fill="FFFFFF"/>
              </w:rPr>
              <w:t>Explain litigation and dispute resolution processes</w:t>
            </w:r>
            <w:r w:rsidRPr="005F0638">
              <w:rPr>
                <w:rStyle w:val="eop"/>
                <w:rFonts w:cs="Arial"/>
                <w:color w:val="000000"/>
                <w:szCs w:val="22"/>
                <w:shd w:val="clear" w:color="auto" w:fill="FFFFFF"/>
              </w:rPr>
              <w:t> </w:t>
            </w:r>
          </w:p>
        </w:tc>
      </w:tr>
      <w:tr w:rsidR="00235FFE" w14:paraId="6CA4C59C" w14:textId="77777777" w:rsidTr="008A142C">
        <w:trPr>
          <w:trHeight w:val="425"/>
        </w:trPr>
        <w:tc>
          <w:tcPr>
            <w:tcW w:w="1985" w:type="dxa"/>
            <w:shd w:val="clear" w:color="auto" w:fill="F2F2F2" w:themeFill="background1" w:themeFillShade="F2"/>
            <w:vAlign w:val="center"/>
          </w:tcPr>
          <w:p w14:paraId="72EA9CB2"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2D8A5964" w14:textId="159AD545" w:rsidR="005C77DB" w:rsidRPr="00235FFE" w:rsidRDefault="00174C1E" w:rsidP="000D22C4">
            <w:r>
              <w:t>2</w:t>
            </w:r>
          </w:p>
        </w:tc>
        <w:tc>
          <w:tcPr>
            <w:tcW w:w="1417" w:type="dxa"/>
            <w:shd w:val="clear" w:color="auto" w:fill="F2F2F2" w:themeFill="background1" w:themeFillShade="F2"/>
            <w:vAlign w:val="center"/>
          </w:tcPr>
          <w:p w14:paraId="2F942D91"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62A4DE27" w14:textId="118625E0" w:rsidR="005C77DB" w:rsidRPr="00235FFE" w:rsidRDefault="00174C1E" w:rsidP="000D22C4">
            <w:r>
              <w:t>4</w:t>
            </w:r>
          </w:p>
        </w:tc>
        <w:tc>
          <w:tcPr>
            <w:tcW w:w="1417" w:type="dxa"/>
            <w:shd w:val="clear" w:color="auto" w:fill="F2F2F2" w:themeFill="background1" w:themeFillShade="F2"/>
            <w:vAlign w:val="center"/>
          </w:tcPr>
          <w:p w14:paraId="69EB6D22"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07C6B1EF" w14:textId="3FACBE63" w:rsidR="005C77DB" w:rsidRPr="00235FFE" w:rsidRDefault="00174C1E" w:rsidP="000D22C4">
            <w:r>
              <w:t>3</w:t>
            </w:r>
          </w:p>
        </w:tc>
      </w:tr>
    </w:tbl>
    <w:p w14:paraId="083DDCD3" w14:textId="77777777" w:rsidR="000F014C" w:rsidRPr="003E2601" w:rsidRDefault="000F014C" w:rsidP="00885350">
      <w:pPr>
        <w:pStyle w:val="ASMHeading2"/>
      </w:pPr>
      <w:r w:rsidRPr="003E2601">
        <w:t xml:space="preserve">Assessor Guidelines </w:t>
      </w:r>
    </w:p>
    <w:p w14:paraId="484D3489"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701BFF07" w14:textId="77777777" w:rsidTr="002030CB">
        <w:tc>
          <w:tcPr>
            <w:tcW w:w="9072" w:type="dxa"/>
            <w:shd w:val="clear" w:color="auto" w:fill="E2F1F4"/>
          </w:tcPr>
          <w:p w14:paraId="54E55A36" w14:textId="77777777" w:rsidR="00D0053D" w:rsidRPr="002030CB" w:rsidRDefault="00D0053D" w:rsidP="00D0053D">
            <w:pPr>
              <w:pStyle w:val="Heading2"/>
              <w:rPr>
                <w:rStyle w:val="Strong"/>
              </w:rPr>
            </w:pPr>
            <w:r w:rsidRPr="002030CB">
              <w:rPr>
                <w:rStyle w:val="Strong"/>
              </w:rPr>
              <w:t>Note</w:t>
            </w:r>
            <w:r>
              <w:rPr>
                <w:rStyle w:val="Strong"/>
              </w:rPr>
              <w:t>s</w:t>
            </w:r>
          </w:p>
          <w:p w14:paraId="7DC2BFC7"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3344204B" w14:textId="5351084A" w:rsidR="00D0053D" w:rsidRDefault="00D0053D" w:rsidP="00D0053D">
            <w:r w:rsidRPr="004F5058">
              <w:t>Assessors must manage authenticity for any assessment from a public source, because</w:t>
            </w:r>
            <w:r>
              <w:t xml:space="preserve"> </w:t>
            </w:r>
            <w:proofErr w:type="spellStart"/>
            <w:r w:rsidR="000B5D7F">
              <w:t>ākonga</w:t>
            </w:r>
            <w:proofErr w:type="spellEnd"/>
            <w:r w:rsidR="000B5D7F">
              <w:t>/learner</w:t>
            </w:r>
            <w:r w:rsidRPr="004F5058">
              <w:t xml:space="preserve">s may have access to the assessment schedule or </w:t>
            </w:r>
            <w:proofErr w:type="spellStart"/>
            <w:r w:rsidR="000B5D7F">
              <w:t>ākonga</w:t>
            </w:r>
            <w:proofErr w:type="spellEnd"/>
            <w:r w:rsidR="000B5D7F">
              <w:t>/learner</w:t>
            </w:r>
            <w:r w:rsidRPr="004F5058">
              <w:t xml:space="preserve"> exemplar material. Use of</w:t>
            </w:r>
            <w:r>
              <w:t xml:space="preserve"> </w:t>
            </w:r>
            <w:r w:rsidRPr="004F5058">
              <w:t xml:space="preserve">this assessment resource without modification may mean that </w:t>
            </w:r>
            <w:proofErr w:type="spellStart"/>
            <w:r w:rsidR="000B5D7F">
              <w:t>ākonga</w:t>
            </w:r>
            <w:proofErr w:type="spellEnd"/>
            <w:r w:rsidR="000B5D7F">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57979F68"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6ECB4187" w14:textId="77777777" w:rsidR="00D0053D" w:rsidRDefault="00D0053D" w:rsidP="00D0053D">
            <w:pPr>
              <w:rPr>
                <w:rFonts w:eastAsia="Mulish" w:cs="Mulish"/>
                <w:color w:val="0563C1"/>
              </w:rPr>
            </w:pPr>
            <w:r w:rsidRPr="000B5D7F">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0B5D7F">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069DD5B4" w14:textId="72AC8DED" w:rsidR="004F5058" w:rsidRPr="000B5D7F" w:rsidRDefault="00D0053D" w:rsidP="00D0053D">
            <w:r w:rsidRPr="75F2CE7F">
              <w:rPr>
                <w:rFonts w:eastAsia="Inter" w:cs="Inter"/>
                <w:szCs w:val="22"/>
              </w:rPr>
              <w:t xml:space="preserve">Assessors should use innovative, valid and fair ways of recognising achievement, without overburdening themselves or the </w:t>
            </w:r>
            <w:proofErr w:type="spellStart"/>
            <w:r w:rsidR="000B5D7F">
              <w:t>ākonga</w:t>
            </w:r>
            <w:proofErr w:type="spellEnd"/>
            <w:r w:rsidR="000B5D7F">
              <w:t xml:space="preserve">/learner </w:t>
            </w:r>
            <w:r w:rsidRPr="75F2CE7F">
              <w:rPr>
                <w:rFonts w:eastAsia="Inter" w:cs="Inter"/>
                <w:szCs w:val="22"/>
              </w:rPr>
              <w:t>with too much assessment.</w:t>
            </w:r>
          </w:p>
        </w:tc>
      </w:tr>
    </w:tbl>
    <w:p w14:paraId="7D13A8EC" w14:textId="77777777" w:rsidR="00474691" w:rsidRDefault="00474691" w:rsidP="00212C53"/>
    <w:p w14:paraId="76446FD3"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174C1E">
        <w:rPr>
          <w:rStyle w:val="PageNumber"/>
          <w:noProof/>
          <w:lang w:val="en-GB"/>
        </w:rPr>
        <w:t>2</w:t>
      </w:r>
      <w:r w:rsidRPr="00EE39FF">
        <w:rPr>
          <w:rStyle w:val="PageNumber"/>
          <w:lang w:val="en-GB"/>
        </w:rPr>
        <w:fldChar w:fldCharType="end"/>
      </w:r>
    </w:p>
    <w:p w14:paraId="3A82E8DD"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174C1E">
        <w:rPr>
          <w:rStyle w:val="PageNumber"/>
          <w:noProof/>
          <w:lang w:val="en-GB"/>
        </w:rPr>
        <w:t>2</w:t>
      </w:r>
      <w:r w:rsidRPr="00EE39FF">
        <w:rPr>
          <w:rStyle w:val="PageNumber"/>
          <w:lang w:val="en-GB"/>
        </w:rPr>
        <w:fldChar w:fldCharType="end"/>
      </w:r>
    </w:p>
    <w:p w14:paraId="32B9B983" w14:textId="77777777" w:rsidR="000B5D7F" w:rsidRDefault="000B5D7F">
      <w:pPr>
        <w:spacing w:before="0" w:after="0"/>
        <w:rPr>
          <w:rFonts w:ascii="Mulish" w:eastAsiaTheme="majorEastAsia" w:hAnsi="Mulish" w:cstheme="majorBidi"/>
          <w:b/>
          <w:bCs/>
          <w:color w:val="005A69"/>
          <w:sz w:val="28"/>
          <w:szCs w:val="28"/>
        </w:rPr>
      </w:pPr>
      <w:r>
        <w:rPr>
          <w:b/>
          <w:bCs/>
          <w:color w:val="005A69"/>
          <w:sz w:val="28"/>
          <w:szCs w:val="28"/>
        </w:rPr>
        <w:br w:type="page"/>
      </w:r>
    </w:p>
    <w:p w14:paraId="4B2C3FD3" w14:textId="70E23FE2"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4C3B7846" w14:textId="39E1B643" w:rsidR="00174C1E" w:rsidRPr="00CC28C3" w:rsidRDefault="00174C1E" w:rsidP="00174C1E">
      <w:pPr>
        <w:rPr>
          <w:rStyle w:val="eop"/>
          <w:rFonts w:cs="Arial"/>
          <w:szCs w:val="22"/>
        </w:rPr>
      </w:pPr>
      <w:r w:rsidRPr="00CC28C3">
        <w:rPr>
          <w:rStyle w:val="normaltextrun"/>
          <w:rFonts w:cs="Arial"/>
          <w:szCs w:val="22"/>
        </w:rPr>
        <w:t xml:space="preserve">In this activity, </w:t>
      </w:r>
      <w:proofErr w:type="spellStart"/>
      <w:r w:rsidR="000B5D7F">
        <w:rPr>
          <w:rStyle w:val="normaltextrun"/>
          <w:rFonts w:cs="Arial"/>
          <w:szCs w:val="22"/>
        </w:rPr>
        <w:t>ākonga</w:t>
      </w:r>
      <w:proofErr w:type="spellEnd"/>
      <w:r w:rsidR="000B5D7F">
        <w:rPr>
          <w:rStyle w:val="normaltextrun"/>
          <w:rFonts w:cs="Arial"/>
          <w:szCs w:val="22"/>
        </w:rPr>
        <w:t>/learner</w:t>
      </w:r>
      <w:r w:rsidRPr="00CC28C3">
        <w:rPr>
          <w:rStyle w:val="normaltextrun"/>
          <w:rFonts w:cs="Arial"/>
          <w:szCs w:val="22"/>
        </w:rPr>
        <w:t>s will explain litigation and dispute resolution processes for two court processes under current New Zealand law: civil processes and criminal (indictable) processes.</w:t>
      </w:r>
    </w:p>
    <w:p w14:paraId="2081F0B2" w14:textId="77777777" w:rsidR="00174C1E" w:rsidRPr="00CC28C3" w:rsidRDefault="00174C1E" w:rsidP="00174C1E">
      <w:pPr>
        <w:rPr>
          <w:rStyle w:val="eop"/>
          <w:rFonts w:cs="Arial"/>
          <w:szCs w:val="22"/>
        </w:rPr>
      </w:pPr>
      <w:r w:rsidRPr="00CC28C3">
        <w:rPr>
          <w:rStyle w:val="normaltextrun"/>
          <w:rFonts w:cs="Arial"/>
          <w:szCs w:val="22"/>
        </w:rPr>
        <w:t>As part of their teaching programmes, it is expected that assessors will work through the key elements of New Zealand criminal law and civil law litigation.</w:t>
      </w:r>
    </w:p>
    <w:p w14:paraId="33FB9948" w14:textId="77777777" w:rsidR="00174C1E" w:rsidRPr="00CC28C3" w:rsidRDefault="00174C1E" w:rsidP="00174C1E">
      <w:pPr>
        <w:rPr>
          <w:rStyle w:val="eop"/>
          <w:rFonts w:cs="Arial"/>
          <w:szCs w:val="22"/>
        </w:rPr>
      </w:pPr>
      <w:r w:rsidRPr="00CC28C3">
        <w:rPr>
          <w:rStyle w:val="normaltextrun"/>
          <w:rFonts w:cs="Arial"/>
          <w:szCs w:val="22"/>
        </w:rPr>
        <w:t>The criminal processes task only assesses indictable processes, but, again, assessors will probably also wish to cover summary procedures as part of their teaching.</w:t>
      </w:r>
    </w:p>
    <w:p w14:paraId="563436F9" w14:textId="77777777" w:rsidR="00174C1E" w:rsidRPr="00CC28C3" w:rsidRDefault="00174C1E" w:rsidP="00174C1E">
      <w:pPr>
        <w:rPr>
          <w:rStyle w:val="eop"/>
          <w:rFonts w:cs="Arial"/>
          <w:szCs w:val="22"/>
        </w:rPr>
      </w:pPr>
      <w:r w:rsidRPr="00CC28C3">
        <w:rPr>
          <w:rStyle w:val="normaltextrun"/>
          <w:rFonts w:cs="Arial"/>
          <w:szCs w:val="22"/>
        </w:rPr>
        <w:t>Assessors need to choose an actual case (or more than one) under each of the systems chosen, and follow the course of each, examining important features in depth along the way.</w:t>
      </w:r>
    </w:p>
    <w:p w14:paraId="2C2DC3CD" w14:textId="77777777" w:rsidR="00174C1E" w:rsidRPr="00CC28C3" w:rsidRDefault="00174C1E" w:rsidP="00174C1E">
      <w:pPr>
        <w:rPr>
          <w:rStyle w:val="eop"/>
          <w:rFonts w:cs="Arial"/>
          <w:szCs w:val="22"/>
        </w:rPr>
      </w:pPr>
      <w:r w:rsidRPr="00CC28C3">
        <w:rPr>
          <w:rStyle w:val="normaltextrun"/>
          <w:rFonts w:cs="Arial"/>
          <w:szCs w:val="22"/>
        </w:rPr>
        <w:t xml:space="preserve">Key elements of the criminal jurisdiction that could be examined </w:t>
      </w:r>
      <w:proofErr w:type="gramStart"/>
      <w:r w:rsidRPr="00CC28C3">
        <w:rPr>
          <w:rStyle w:val="normaltextrun"/>
          <w:rFonts w:cs="Arial"/>
          <w:szCs w:val="22"/>
        </w:rPr>
        <w:t>are:</w:t>
      </w:r>
      <w:proofErr w:type="gramEnd"/>
      <w:r w:rsidRPr="00CC28C3">
        <w:rPr>
          <w:rStyle w:val="normaltextrun"/>
          <w:rFonts w:cs="Arial"/>
          <w:szCs w:val="22"/>
        </w:rPr>
        <w:t xml:space="preserve"> pre-trial procedures; roles of various personnel (judge, jury, prosecution and defence); jury system; trial; outcomes (guilty/not guilty); sentencing; underlying principles; strengths and weaknesses. Underlying principles would </w:t>
      </w:r>
      <w:proofErr w:type="gramStart"/>
      <w:r w:rsidRPr="00CC28C3">
        <w:rPr>
          <w:rStyle w:val="normaltextrun"/>
          <w:rFonts w:cs="Arial"/>
          <w:szCs w:val="22"/>
        </w:rPr>
        <w:t>include:</w:t>
      </w:r>
      <w:proofErr w:type="gramEnd"/>
      <w:r w:rsidRPr="00CC28C3">
        <w:rPr>
          <w:rStyle w:val="normaltextrun"/>
          <w:rFonts w:cs="Arial"/>
          <w:szCs w:val="22"/>
        </w:rPr>
        <w:t xml:space="preserve"> burden and standard of proof; Adversarial system.</w:t>
      </w:r>
    </w:p>
    <w:p w14:paraId="72BD650A" w14:textId="77777777" w:rsidR="00174C1E" w:rsidRPr="00CC28C3" w:rsidRDefault="00174C1E" w:rsidP="00174C1E">
      <w:pPr>
        <w:rPr>
          <w:rStyle w:val="eop"/>
          <w:rFonts w:cs="Arial"/>
          <w:szCs w:val="22"/>
        </w:rPr>
      </w:pPr>
      <w:r w:rsidRPr="00CC28C3">
        <w:rPr>
          <w:rStyle w:val="normaltextrun"/>
          <w:rFonts w:cs="Arial"/>
          <w:szCs w:val="22"/>
        </w:rPr>
        <w:t>Key elements of the civil jurisdiction that should be examined are:</w:t>
      </w:r>
    </w:p>
    <w:p w14:paraId="66DA1B1B" w14:textId="77777777" w:rsidR="00174C1E" w:rsidRPr="00CC28C3" w:rsidRDefault="00174C1E" w:rsidP="00174C1E">
      <w:pPr>
        <w:pStyle w:val="ListParagraph"/>
        <w:numPr>
          <w:ilvl w:val="0"/>
          <w:numId w:val="11"/>
        </w:numPr>
        <w:tabs>
          <w:tab w:val="left" w:pos="426"/>
        </w:tabs>
        <w:ind w:left="426" w:hanging="426"/>
        <w:rPr>
          <w:rStyle w:val="normaltextrun"/>
          <w:rFonts w:cs="Arial"/>
          <w:szCs w:val="22"/>
        </w:rPr>
      </w:pPr>
      <w:r w:rsidRPr="00CC28C3">
        <w:rPr>
          <w:rStyle w:val="normaltextrun"/>
          <w:rFonts w:cs="Arial"/>
          <w:szCs w:val="22"/>
        </w:rPr>
        <w:t xml:space="preserve">pre-hearing </w:t>
      </w:r>
      <w:proofErr w:type="gramStart"/>
      <w:r w:rsidRPr="00CC28C3">
        <w:rPr>
          <w:rStyle w:val="normaltextrun"/>
          <w:rFonts w:cs="Arial"/>
          <w:szCs w:val="22"/>
        </w:rPr>
        <w:t>procedures;</w:t>
      </w:r>
      <w:proofErr w:type="gramEnd"/>
    </w:p>
    <w:p w14:paraId="584EB8FE" w14:textId="77777777" w:rsidR="00174C1E" w:rsidRPr="00CC28C3" w:rsidRDefault="00174C1E" w:rsidP="00174C1E">
      <w:pPr>
        <w:pStyle w:val="ListParagraph"/>
        <w:numPr>
          <w:ilvl w:val="0"/>
          <w:numId w:val="11"/>
        </w:numPr>
        <w:tabs>
          <w:tab w:val="left" w:pos="426"/>
        </w:tabs>
        <w:ind w:left="426" w:hanging="426"/>
        <w:rPr>
          <w:rStyle w:val="normaltextrun"/>
          <w:rFonts w:cs="Arial"/>
          <w:szCs w:val="22"/>
        </w:rPr>
      </w:pPr>
      <w:r w:rsidRPr="00CC28C3">
        <w:rPr>
          <w:rStyle w:val="normaltextrun"/>
          <w:rFonts w:cs="Arial"/>
          <w:szCs w:val="22"/>
        </w:rPr>
        <w:t>roles of various personnel (judge, plaintiff, defendant</w:t>
      </w:r>
      <w:proofErr w:type="gramStart"/>
      <w:r w:rsidRPr="00CC28C3">
        <w:rPr>
          <w:rStyle w:val="normaltextrun"/>
          <w:rFonts w:cs="Arial"/>
          <w:szCs w:val="22"/>
        </w:rPr>
        <w:t>);</w:t>
      </w:r>
      <w:proofErr w:type="gramEnd"/>
    </w:p>
    <w:p w14:paraId="5F1BCE79" w14:textId="77777777" w:rsidR="00174C1E" w:rsidRPr="00CC28C3" w:rsidRDefault="00174C1E" w:rsidP="00174C1E">
      <w:pPr>
        <w:pStyle w:val="ListParagraph"/>
        <w:numPr>
          <w:ilvl w:val="0"/>
          <w:numId w:val="11"/>
        </w:numPr>
        <w:tabs>
          <w:tab w:val="left" w:pos="426"/>
        </w:tabs>
        <w:ind w:left="426" w:hanging="426"/>
        <w:rPr>
          <w:rStyle w:val="normaltextrun"/>
          <w:rFonts w:cs="Arial"/>
          <w:szCs w:val="22"/>
        </w:rPr>
      </w:pPr>
      <w:r w:rsidRPr="00CC28C3">
        <w:rPr>
          <w:rStyle w:val="normaltextrun"/>
          <w:rFonts w:cs="Arial"/>
          <w:szCs w:val="22"/>
        </w:rPr>
        <w:t>hearing; outcomes (liable/not liable</w:t>
      </w:r>
      <w:proofErr w:type="gramStart"/>
      <w:r w:rsidRPr="00CC28C3">
        <w:rPr>
          <w:rStyle w:val="normaltextrun"/>
          <w:rFonts w:cs="Arial"/>
          <w:szCs w:val="22"/>
        </w:rPr>
        <w:t>);</w:t>
      </w:r>
      <w:proofErr w:type="gramEnd"/>
    </w:p>
    <w:p w14:paraId="48CCEEDE" w14:textId="77777777" w:rsidR="00174C1E" w:rsidRPr="00CC28C3" w:rsidRDefault="00174C1E" w:rsidP="00174C1E">
      <w:pPr>
        <w:pStyle w:val="ListParagraph"/>
        <w:numPr>
          <w:ilvl w:val="0"/>
          <w:numId w:val="11"/>
        </w:numPr>
        <w:tabs>
          <w:tab w:val="left" w:pos="426"/>
        </w:tabs>
        <w:ind w:left="426" w:hanging="426"/>
        <w:rPr>
          <w:rStyle w:val="normaltextrun"/>
          <w:rFonts w:cs="Arial"/>
          <w:szCs w:val="22"/>
        </w:rPr>
      </w:pPr>
      <w:r w:rsidRPr="00CC28C3">
        <w:rPr>
          <w:rStyle w:val="normaltextrun"/>
          <w:rFonts w:cs="Arial"/>
          <w:szCs w:val="22"/>
        </w:rPr>
        <w:t xml:space="preserve">remedies available to successful </w:t>
      </w:r>
      <w:proofErr w:type="gramStart"/>
      <w:r w:rsidRPr="00CC28C3">
        <w:rPr>
          <w:rStyle w:val="normaltextrun"/>
          <w:rFonts w:cs="Arial"/>
          <w:szCs w:val="22"/>
        </w:rPr>
        <w:t>plaintiff;</w:t>
      </w:r>
      <w:proofErr w:type="gramEnd"/>
    </w:p>
    <w:p w14:paraId="78F49E9A" w14:textId="77777777" w:rsidR="00174C1E" w:rsidRPr="00CC28C3" w:rsidRDefault="00174C1E" w:rsidP="00174C1E">
      <w:pPr>
        <w:pStyle w:val="ListParagraph"/>
        <w:numPr>
          <w:ilvl w:val="0"/>
          <w:numId w:val="11"/>
        </w:numPr>
        <w:tabs>
          <w:tab w:val="left" w:pos="426"/>
        </w:tabs>
        <w:ind w:left="426" w:hanging="426"/>
        <w:rPr>
          <w:rStyle w:val="normaltextrun"/>
          <w:rFonts w:cs="Arial"/>
          <w:szCs w:val="22"/>
        </w:rPr>
      </w:pPr>
      <w:r w:rsidRPr="00CC28C3">
        <w:rPr>
          <w:rStyle w:val="normaltextrun"/>
          <w:rFonts w:cs="Arial"/>
          <w:szCs w:val="22"/>
        </w:rPr>
        <w:t xml:space="preserve">underlying </w:t>
      </w:r>
      <w:proofErr w:type="gramStart"/>
      <w:r w:rsidRPr="00CC28C3">
        <w:rPr>
          <w:rStyle w:val="normaltextrun"/>
          <w:rFonts w:cs="Arial"/>
          <w:szCs w:val="22"/>
        </w:rPr>
        <w:t>principles;</w:t>
      </w:r>
      <w:proofErr w:type="gramEnd"/>
    </w:p>
    <w:p w14:paraId="5B755F9F" w14:textId="77777777" w:rsidR="00174C1E" w:rsidRPr="00CC28C3" w:rsidRDefault="00174C1E" w:rsidP="00174C1E">
      <w:pPr>
        <w:pStyle w:val="ListParagraph"/>
        <w:numPr>
          <w:ilvl w:val="0"/>
          <w:numId w:val="11"/>
        </w:numPr>
        <w:tabs>
          <w:tab w:val="left" w:pos="426"/>
        </w:tabs>
        <w:ind w:left="426" w:hanging="426"/>
        <w:rPr>
          <w:rStyle w:val="normaltextrun"/>
          <w:rFonts w:cs="Arial"/>
          <w:szCs w:val="22"/>
        </w:rPr>
      </w:pPr>
      <w:r w:rsidRPr="00CC28C3">
        <w:rPr>
          <w:rStyle w:val="normaltextrun"/>
          <w:rFonts w:cs="Arial"/>
          <w:szCs w:val="22"/>
        </w:rPr>
        <w:t>strengths and weaknesses.</w:t>
      </w:r>
    </w:p>
    <w:p w14:paraId="40E24355" w14:textId="77777777" w:rsidR="00174C1E" w:rsidRPr="00CC28C3" w:rsidRDefault="00174C1E" w:rsidP="00174C1E">
      <w:pPr>
        <w:rPr>
          <w:rStyle w:val="eop"/>
          <w:rFonts w:cs="Arial"/>
          <w:szCs w:val="22"/>
        </w:rPr>
      </w:pPr>
      <w:r w:rsidRPr="00CC28C3">
        <w:rPr>
          <w:rStyle w:val="normaltextrun"/>
          <w:rFonts w:cs="Arial"/>
          <w:szCs w:val="22"/>
        </w:rPr>
        <w:t xml:space="preserve">Underlying principles would </w:t>
      </w:r>
      <w:proofErr w:type="gramStart"/>
      <w:r w:rsidRPr="00CC28C3">
        <w:rPr>
          <w:rStyle w:val="normaltextrun"/>
          <w:rFonts w:cs="Arial"/>
          <w:szCs w:val="22"/>
        </w:rPr>
        <w:t>include:</w:t>
      </w:r>
      <w:proofErr w:type="gramEnd"/>
      <w:r w:rsidRPr="00CC28C3">
        <w:rPr>
          <w:rStyle w:val="normaltextrun"/>
          <w:rFonts w:cs="Arial"/>
          <w:szCs w:val="22"/>
        </w:rPr>
        <w:t xml:space="preserve"> burden and standard of proof, judicial precedent.</w:t>
      </w:r>
    </w:p>
    <w:p w14:paraId="433DF549" w14:textId="3768152B" w:rsidR="00174C1E" w:rsidRPr="00CC28C3" w:rsidRDefault="00174C1E" w:rsidP="00174C1E">
      <w:pPr>
        <w:pStyle w:val="paragraph"/>
        <w:spacing w:before="120" w:beforeAutospacing="0" w:after="120" w:afterAutospacing="0"/>
        <w:ind w:right="1635"/>
        <w:textAlignment w:val="baseline"/>
        <w:rPr>
          <w:rStyle w:val="eop"/>
          <w:rFonts w:ascii="Inter" w:hAnsi="Inter" w:cs="Arial"/>
          <w:sz w:val="22"/>
          <w:szCs w:val="22"/>
        </w:rPr>
      </w:pPr>
      <w:r w:rsidRPr="00CC28C3">
        <w:rPr>
          <w:rStyle w:val="normaltextrun"/>
          <w:rFonts w:ascii="Inter" w:eastAsiaTheme="minorEastAsia" w:hAnsi="Inter" w:cs="Arial"/>
          <w:sz w:val="22"/>
          <w:szCs w:val="22"/>
        </w:rPr>
        <w:t xml:space="preserve">Where possible, </w:t>
      </w:r>
      <w:proofErr w:type="spellStart"/>
      <w:r w:rsidR="000B5D7F">
        <w:rPr>
          <w:rStyle w:val="normaltextrun"/>
          <w:rFonts w:ascii="Inter" w:eastAsiaTheme="minorEastAsia" w:hAnsi="Inter" w:cs="Arial"/>
          <w:sz w:val="22"/>
          <w:szCs w:val="22"/>
        </w:rPr>
        <w:t>ākonga</w:t>
      </w:r>
      <w:proofErr w:type="spellEnd"/>
      <w:r w:rsidR="000B5D7F">
        <w:rPr>
          <w:rStyle w:val="normaltextrun"/>
          <w:rFonts w:ascii="Inter" w:eastAsiaTheme="minorEastAsia" w:hAnsi="Inter" w:cs="Arial"/>
          <w:sz w:val="22"/>
          <w:szCs w:val="22"/>
        </w:rPr>
        <w:t>/learner</w:t>
      </w:r>
      <w:r w:rsidRPr="00CC28C3">
        <w:rPr>
          <w:rStyle w:val="normaltextrun"/>
          <w:rFonts w:ascii="Inter" w:eastAsiaTheme="minorEastAsia" w:hAnsi="Inter" w:cs="Arial"/>
          <w:sz w:val="22"/>
          <w:szCs w:val="22"/>
        </w:rPr>
        <w:t>s should have the opportunity to view actual court proceedings, both criminal and civil.</w:t>
      </w:r>
    </w:p>
    <w:p w14:paraId="3AF7D074" w14:textId="77777777" w:rsidR="00174C1E" w:rsidRPr="00CC28C3" w:rsidRDefault="00174C1E" w:rsidP="00174C1E">
      <w:pPr>
        <w:rPr>
          <w:rStyle w:val="eop"/>
          <w:rFonts w:cs="Arial"/>
          <w:szCs w:val="22"/>
        </w:rPr>
      </w:pPr>
      <w:r w:rsidRPr="00CC28C3">
        <w:rPr>
          <w:rStyle w:val="normaltextrun"/>
          <w:rFonts w:cs="Arial"/>
          <w:b/>
          <w:bCs/>
          <w:i/>
          <w:iCs/>
          <w:szCs w:val="22"/>
        </w:rPr>
        <w:t xml:space="preserve">Note: </w:t>
      </w:r>
      <w:r w:rsidRPr="00CC28C3">
        <w:rPr>
          <w:rStyle w:val="normaltextrun"/>
          <w:rFonts w:cs="Arial"/>
          <w:i/>
          <w:iCs/>
          <w:szCs w:val="22"/>
        </w:rPr>
        <w:t>The Standard allows a choice of two processes from the same or from two different legal systems, and the legal systems chosen may be national, tikanga M</w:t>
      </w:r>
      <w:proofErr w:type="spellStart"/>
      <w:r w:rsidRPr="00CC28C3">
        <w:rPr>
          <w:rStyle w:val="normaltextrun"/>
          <w:rFonts w:cs="Arial"/>
          <w:i/>
          <w:iCs/>
          <w:szCs w:val="22"/>
          <w:lang w:val="mi-NZ"/>
        </w:rPr>
        <w:t>āori</w:t>
      </w:r>
      <w:proofErr w:type="spellEnd"/>
      <w:r w:rsidRPr="00CC28C3">
        <w:rPr>
          <w:rStyle w:val="normaltextrun"/>
          <w:rFonts w:cs="Arial"/>
          <w:i/>
          <w:iCs/>
          <w:szCs w:val="22"/>
          <w:lang w:val="mi-NZ"/>
        </w:rPr>
        <w:t xml:space="preserve">, </w:t>
      </w:r>
      <w:r w:rsidRPr="00CC28C3">
        <w:rPr>
          <w:rStyle w:val="normaltextrun"/>
          <w:rFonts w:cs="Arial"/>
          <w:i/>
          <w:iCs/>
          <w:szCs w:val="22"/>
        </w:rPr>
        <w:t>international, historical, or traditional. It is recognised that the distinction between litigation and dispute resolution processes may vary depending on the legal systems chosen.</w:t>
      </w:r>
    </w:p>
    <w:p w14:paraId="5004D14D" w14:textId="77777777" w:rsidR="00174C1E" w:rsidRPr="00CC28C3" w:rsidRDefault="00174C1E" w:rsidP="00174C1E">
      <w:pPr>
        <w:rPr>
          <w:rStyle w:val="eop"/>
          <w:rFonts w:cs="Arial"/>
          <w:szCs w:val="22"/>
        </w:rPr>
      </w:pPr>
      <w:r w:rsidRPr="00CC28C3">
        <w:rPr>
          <w:rStyle w:val="normaltextrun"/>
          <w:rFonts w:cs="Arial"/>
          <w:i/>
          <w:iCs/>
          <w:szCs w:val="22"/>
        </w:rPr>
        <w:t>The processes chosen might, for example, include pre-European Māori dispute resolution procedures, youth justice processes, criminal procedures in an inquisitorial system country. However, assessors should ensure that the two processes chosen are of a sufficient degree of complexity.</w:t>
      </w:r>
    </w:p>
    <w:p w14:paraId="63DE44AC" w14:textId="51459EFF" w:rsidR="00174C1E" w:rsidRPr="00CC28C3" w:rsidRDefault="00174C1E" w:rsidP="00174C1E">
      <w:pPr>
        <w:rPr>
          <w:rStyle w:val="eop"/>
          <w:rFonts w:cs="Arial"/>
          <w:szCs w:val="22"/>
        </w:rPr>
      </w:pPr>
      <w:r w:rsidRPr="00CC28C3">
        <w:rPr>
          <w:rStyle w:val="normaltextrun"/>
          <w:rFonts w:cs="Arial"/>
          <w:i/>
          <w:iCs/>
          <w:szCs w:val="22"/>
        </w:rPr>
        <w:t xml:space="preserve">The two processes must also be sufficiently different to ensure that </w:t>
      </w:r>
      <w:proofErr w:type="spellStart"/>
      <w:r w:rsidR="000B5D7F">
        <w:rPr>
          <w:rStyle w:val="normaltextrun"/>
          <w:rFonts w:cs="Arial"/>
          <w:i/>
          <w:iCs/>
          <w:szCs w:val="22"/>
        </w:rPr>
        <w:t>ākonga</w:t>
      </w:r>
      <w:proofErr w:type="spellEnd"/>
      <w:r w:rsidR="000B5D7F">
        <w:rPr>
          <w:rStyle w:val="normaltextrun"/>
          <w:rFonts w:cs="Arial"/>
          <w:i/>
          <w:iCs/>
          <w:szCs w:val="22"/>
        </w:rPr>
        <w:t>/learner</w:t>
      </w:r>
      <w:r w:rsidRPr="00CC28C3">
        <w:rPr>
          <w:rStyle w:val="normaltextrun"/>
          <w:rFonts w:cs="Arial"/>
          <w:i/>
          <w:iCs/>
          <w:szCs w:val="22"/>
        </w:rPr>
        <w:t>s cannot simply repeat the same or very similar descriptions and arguments. Overlapping should be avoided. Therefore, in the “New Zealand Civil and Criminal Court processes” assessment activity, although both processes use the adversarial system, it is covered as a principle of the criminal process only.</w:t>
      </w:r>
    </w:p>
    <w:p w14:paraId="60FD622F" w14:textId="77777777" w:rsidR="00174C1E" w:rsidRPr="00CC28C3" w:rsidRDefault="00174C1E" w:rsidP="00174C1E">
      <w:pPr>
        <w:rPr>
          <w:rStyle w:val="eop"/>
          <w:rFonts w:cs="Arial"/>
          <w:szCs w:val="22"/>
        </w:rPr>
      </w:pPr>
      <w:r w:rsidRPr="00CC28C3">
        <w:rPr>
          <w:rStyle w:val="normaltextrun"/>
          <w:rFonts w:cs="Arial"/>
          <w:i/>
          <w:iCs/>
          <w:szCs w:val="22"/>
        </w:rPr>
        <w:t>However, “Burden and Standard of Proof” is covered as a principle of both the criminal and civil processes, because it is different in each.</w:t>
      </w:r>
    </w:p>
    <w:p w14:paraId="45B0DE70" w14:textId="77777777" w:rsidR="003F73CB" w:rsidRPr="003E2601" w:rsidRDefault="003F73CB" w:rsidP="003E2601">
      <w:pPr>
        <w:pStyle w:val="Heading1"/>
        <w:rPr>
          <w:b/>
          <w:bCs/>
          <w:color w:val="005A69"/>
          <w:sz w:val="28"/>
          <w:szCs w:val="28"/>
        </w:rPr>
      </w:pPr>
      <w:r w:rsidRPr="003E2601">
        <w:rPr>
          <w:b/>
          <w:bCs/>
          <w:color w:val="005A69"/>
          <w:sz w:val="28"/>
          <w:szCs w:val="28"/>
        </w:rPr>
        <w:lastRenderedPageBreak/>
        <w:t>Award of Grades</w:t>
      </w:r>
    </w:p>
    <w:p w14:paraId="0388712A" w14:textId="77777777" w:rsidR="00174C1E" w:rsidRPr="00CC28C3" w:rsidRDefault="00174C1E" w:rsidP="00174C1E">
      <w:pPr>
        <w:pStyle w:val="paragraph"/>
        <w:numPr>
          <w:ilvl w:val="0"/>
          <w:numId w:val="12"/>
        </w:numPr>
        <w:spacing w:before="120" w:beforeAutospacing="0" w:after="120" w:afterAutospacing="0"/>
        <w:textAlignment w:val="baseline"/>
        <w:rPr>
          <w:rStyle w:val="eop"/>
          <w:rFonts w:ascii="Inter" w:hAnsi="Inter" w:cs="Arial"/>
          <w:sz w:val="22"/>
          <w:szCs w:val="22"/>
        </w:rPr>
      </w:pPr>
      <w:r w:rsidRPr="00CC28C3">
        <w:rPr>
          <w:rStyle w:val="normaltextrun"/>
          <w:rFonts w:ascii="Inter" w:hAnsi="Inter" w:cs="Arial"/>
          <w:sz w:val="22"/>
          <w:szCs w:val="22"/>
        </w:rPr>
        <w:t xml:space="preserve">For award with </w:t>
      </w:r>
      <w:r w:rsidRPr="00CC28C3">
        <w:rPr>
          <w:rStyle w:val="normaltextrun"/>
          <w:rFonts w:ascii="Inter" w:hAnsi="Inter" w:cs="Arial"/>
          <w:b/>
          <w:bCs/>
          <w:i/>
          <w:iCs/>
          <w:sz w:val="22"/>
          <w:szCs w:val="22"/>
        </w:rPr>
        <w:t>Achieved</w:t>
      </w:r>
      <w:r w:rsidRPr="00CC28C3">
        <w:rPr>
          <w:rStyle w:val="normaltextrun"/>
          <w:rFonts w:ascii="Inter" w:hAnsi="Inter" w:cs="Arial"/>
          <w:i/>
          <w:iCs/>
          <w:sz w:val="22"/>
          <w:szCs w:val="22"/>
        </w:rPr>
        <w:t xml:space="preserve">, </w:t>
      </w:r>
      <w:r w:rsidRPr="00CC28C3">
        <w:rPr>
          <w:rStyle w:val="normaltextrun"/>
          <w:rFonts w:ascii="Inter" w:hAnsi="Inter" w:cs="Arial"/>
          <w:sz w:val="22"/>
          <w:szCs w:val="22"/>
        </w:rPr>
        <w:t>litigation and dispute resolution processes are explained, with supporting detail, in terms of the key element(s) of selected legal system(s). Supporting detail includes – participants, methods, outcomes and underlying principles. Legal system(s) may include – national, tikanga Māori, international, historical, traditional. Selected legal systems are one litigation and one dispute resolution process from the same, or from two different, legal system(s).</w:t>
      </w:r>
    </w:p>
    <w:p w14:paraId="246A15A0" w14:textId="77777777" w:rsidR="00174C1E" w:rsidRPr="00CC28C3" w:rsidRDefault="00174C1E" w:rsidP="00174C1E">
      <w:pPr>
        <w:pStyle w:val="paragraph"/>
        <w:numPr>
          <w:ilvl w:val="0"/>
          <w:numId w:val="12"/>
        </w:numPr>
        <w:spacing w:before="120" w:beforeAutospacing="0" w:after="120" w:afterAutospacing="0"/>
        <w:textAlignment w:val="baseline"/>
        <w:rPr>
          <w:rStyle w:val="eop"/>
          <w:rFonts w:ascii="Inter" w:hAnsi="Inter" w:cs="Arial"/>
          <w:sz w:val="22"/>
          <w:szCs w:val="22"/>
        </w:rPr>
      </w:pPr>
      <w:r w:rsidRPr="00CC28C3">
        <w:rPr>
          <w:rStyle w:val="normaltextrun"/>
          <w:rFonts w:ascii="Inter" w:hAnsi="Inter" w:cs="Arial"/>
          <w:sz w:val="22"/>
          <w:szCs w:val="22"/>
        </w:rPr>
        <w:t xml:space="preserve">For award with </w:t>
      </w:r>
      <w:r w:rsidRPr="00CC28C3">
        <w:rPr>
          <w:rStyle w:val="normaltextrun"/>
          <w:rFonts w:ascii="Inter" w:hAnsi="Inter" w:cs="Arial"/>
          <w:b/>
          <w:bCs/>
          <w:i/>
          <w:iCs/>
          <w:sz w:val="22"/>
          <w:szCs w:val="22"/>
        </w:rPr>
        <w:t>Merit</w:t>
      </w:r>
      <w:r w:rsidRPr="00CC28C3">
        <w:rPr>
          <w:rStyle w:val="normaltextrun"/>
          <w:rFonts w:ascii="Inter" w:hAnsi="Inter" w:cs="Arial"/>
          <w:i/>
          <w:iCs/>
          <w:sz w:val="22"/>
          <w:szCs w:val="22"/>
        </w:rPr>
        <w:t xml:space="preserve"> </w:t>
      </w:r>
      <w:r w:rsidRPr="00CC28C3">
        <w:rPr>
          <w:rStyle w:val="normaltextrun"/>
          <w:rFonts w:ascii="Inter" w:hAnsi="Inter" w:cs="Arial"/>
          <w:sz w:val="22"/>
          <w:szCs w:val="22"/>
        </w:rPr>
        <w:t>the explanation</w:t>
      </w:r>
      <w:r w:rsidRPr="00CC28C3">
        <w:rPr>
          <w:rStyle w:val="normaltextrun"/>
          <w:rFonts w:ascii="Inter" w:hAnsi="Inter" w:cs="Arial"/>
          <w:sz w:val="22"/>
          <w:szCs w:val="22"/>
          <w:lang w:val="en-GB"/>
        </w:rPr>
        <w:t xml:space="preserve"> of </w:t>
      </w:r>
      <w:r w:rsidRPr="00CC28C3">
        <w:rPr>
          <w:rStyle w:val="normaltextrun"/>
          <w:rFonts w:ascii="Inter" w:hAnsi="Inter" w:cs="Arial"/>
          <w:sz w:val="22"/>
          <w:szCs w:val="22"/>
        </w:rPr>
        <w:t>the litigation and dispute resolution processes is demonstrated by:</w:t>
      </w:r>
    </w:p>
    <w:p w14:paraId="14CC6BE7" w14:textId="77777777" w:rsidR="00174C1E" w:rsidRPr="00CC28C3" w:rsidRDefault="00174C1E" w:rsidP="00174C1E">
      <w:pPr>
        <w:pStyle w:val="paragraph"/>
        <w:numPr>
          <w:ilvl w:val="0"/>
          <w:numId w:val="13"/>
        </w:numPr>
        <w:spacing w:before="0" w:beforeAutospacing="0" w:after="0" w:afterAutospacing="0"/>
        <w:textAlignment w:val="baseline"/>
        <w:rPr>
          <w:rStyle w:val="eop"/>
          <w:rFonts w:ascii="Inter" w:hAnsi="Inter" w:cs="Arial"/>
          <w:sz w:val="22"/>
          <w:szCs w:val="22"/>
        </w:rPr>
      </w:pPr>
      <w:r w:rsidRPr="00CC28C3">
        <w:rPr>
          <w:rStyle w:val="normaltextrun"/>
          <w:rFonts w:ascii="Inter" w:hAnsi="Inter" w:cs="Arial"/>
          <w:sz w:val="22"/>
          <w:szCs w:val="22"/>
        </w:rPr>
        <w:t xml:space="preserve">describing one strength and one weakness for each </w:t>
      </w:r>
      <w:proofErr w:type="gramStart"/>
      <w:r w:rsidRPr="00CC28C3">
        <w:rPr>
          <w:rStyle w:val="normaltextrun"/>
          <w:rFonts w:ascii="Inter" w:hAnsi="Inter" w:cs="Arial"/>
          <w:sz w:val="22"/>
          <w:szCs w:val="22"/>
        </w:rPr>
        <w:t>process;</w:t>
      </w:r>
      <w:proofErr w:type="gramEnd"/>
    </w:p>
    <w:p w14:paraId="0154290E" w14:textId="77777777" w:rsidR="00174C1E" w:rsidRPr="00CC28C3" w:rsidRDefault="00174C1E" w:rsidP="00174C1E">
      <w:pPr>
        <w:pStyle w:val="paragraph"/>
        <w:numPr>
          <w:ilvl w:val="0"/>
          <w:numId w:val="13"/>
        </w:numPr>
        <w:spacing w:before="0" w:beforeAutospacing="0" w:after="0" w:afterAutospacing="0"/>
        <w:textAlignment w:val="baseline"/>
        <w:rPr>
          <w:rStyle w:val="eop"/>
          <w:rFonts w:ascii="Inter" w:hAnsi="Inter" w:cs="Arial"/>
          <w:sz w:val="22"/>
          <w:szCs w:val="22"/>
        </w:rPr>
      </w:pPr>
      <w:r w:rsidRPr="00CC28C3">
        <w:rPr>
          <w:rStyle w:val="normaltextrun"/>
          <w:rFonts w:ascii="Inter" w:hAnsi="Inter" w:cs="Arial"/>
          <w:sz w:val="22"/>
          <w:szCs w:val="22"/>
        </w:rPr>
        <w:t>selecting and applying relevant supporting detail that may include but is not limited to any one of:</w:t>
      </w:r>
    </w:p>
    <w:p w14:paraId="14B7B10A" w14:textId="77777777" w:rsidR="00174C1E" w:rsidRPr="00CC28C3" w:rsidRDefault="00174C1E" w:rsidP="00174C1E">
      <w:pPr>
        <w:pStyle w:val="paragraph"/>
        <w:numPr>
          <w:ilvl w:val="1"/>
          <w:numId w:val="13"/>
        </w:numPr>
        <w:spacing w:before="0" w:beforeAutospacing="0" w:after="0" w:afterAutospacing="0"/>
        <w:textAlignment w:val="baseline"/>
        <w:rPr>
          <w:rStyle w:val="eop"/>
          <w:rFonts w:ascii="Inter" w:hAnsi="Inter" w:cs="Arial"/>
          <w:sz w:val="22"/>
          <w:szCs w:val="22"/>
        </w:rPr>
      </w:pPr>
      <w:r w:rsidRPr="00CC28C3">
        <w:rPr>
          <w:rStyle w:val="normaltextrun"/>
          <w:rFonts w:ascii="Inter" w:hAnsi="Inter" w:cs="Arial"/>
          <w:sz w:val="22"/>
          <w:szCs w:val="22"/>
        </w:rPr>
        <w:t xml:space="preserve">particular facts and </w:t>
      </w:r>
      <w:proofErr w:type="gramStart"/>
      <w:r w:rsidRPr="00CC28C3">
        <w:rPr>
          <w:rStyle w:val="normaltextrun"/>
          <w:rFonts w:ascii="Inter" w:hAnsi="Inter" w:cs="Arial"/>
          <w:sz w:val="22"/>
          <w:szCs w:val="22"/>
        </w:rPr>
        <w:t>legislation;</w:t>
      </w:r>
      <w:proofErr w:type="gramEnd"/>
    </w:p>
    <w:p w14:paraId="660F93E4" w14:textId="77777777" w:rsidR="00174C1E" w:rsidRPr="00CC28C3" w:rsidRDefault="00174C1E" w:rsidP="00174C1E">
      <w:pPr>
        <w:pStyle w:val="paragraph"/>
        <w:numPr>
          <w:ilvl w:val="1"/>
          <w:numId w:val="13"/>
        </w:numPr>
        <w:spacing w:before="0" w:beforeAutospacing="0" w:after="0" w:afterAutospacing="0"/>
        <w:textAlignment w:val="baseline"/>
        <w:rPr>
          <w:rStyle w:val="eop"/>
          <w:rFonts w:ascii="Inter" w:hAnsi="Inter" w:cs="Arial"/>
          <w:sz w:val="22"/>
          <w:szCs w:val="22"/>
        </w:rPr>
      </w:pPr>
      <w:r w:rsidRPr="00CC28C3">
        <w:rPr>
          <w:rStyle w:val="normaltextrun"/>
          <w:rFonts w:ascii="Inter" w:hAnsi="Inter" w:cs="Arial"/>
          <w:sz w:val="22"/>
          <w:szCs w:val="22"/>
        </w:rPr>
        <w:t xml:space="preserve">past or present </w:t>
      </w:r>
      <w:proofErr w:type="gramStart"/>
      <w:r w:rsidRPr="00CC28C3">
        <w:rPr>
          <w:rStyle w:val="normaltextrun"/>
          <w:rFonts w:ascii="Inter" w:hAnsi="Inter" w:cs="Arial"/>
          <w:sz w:val="22"/>
          <w:szCs w:val="22"/>
        </w:rPr>
        <w:t>events;</w:t>
      </w:r>
      <w:proofErr w:type="gramEnd"/>
    </w:p>
    <w:p w14:paraId="7EA96D33" w14:textId="77777777" w:rsidR="00174C1E" w:rsidRPr="00CC28C3" w:rsidRDefault="00174C1E" w:rsidP="00174C1E">
      <w:pPr>
        <w:pStyle w:val="paragraph"/>
        <w:numPr>
          <w:ilvl w:val="1"/>
          <w:numId w:val="13"/>
        </w:numPr>
        <w:spacing w:before="0" w:beforeAutospacing="0" w:after="0" w:afterAutospacing="0"/>
        <w:textAlignment w:val="baseline"/>
        <w:rPr>
          <w:rStyle w:val="eop"/>
          <w:rFonts w:ascii="Inter" w:hAnsi="Inter" w:cs="Arial"/>
          <w:sz w:val="22"/>
          <w:szCs w:val="22"/>
        </w:rPr>
      </w:pPr>
      <w:r w:rsidRPr="00CC28C3">
        <w:rPr>
          <w:rStyle w:val="normaltextrun"/>
          <w:rFonts w:ascii="Inter" w:hAnsi="Inter" w:cs="Arial"/>
          <w:sz w:val="22"/>
          <w:szCs w:val="22"/>
        </w:rPr>
        <w:t xml:space="preserve">case studies, actual examples, </w:t>
      </w:r>
      <w:proofErr w:type="gramStart"/>
      <w:r w:rsidRPr="00CC28C3">
        <w:rPr>
          <w:rStyle w:val="normaltextrun"/>
          <w:rFonts w:ascii="Inter" w:hAnsi="Inter" w:cs="Arial"/>
          <w:sz w:val="22"/>
          <w:szCs w:val="22"/>
        </w:rPr>
        <w:t>statistics;</w:t>
      </w:r>
      <w:proofErr w:type="gramEnd"/>
    </w:p>
    <w:p w14:paraId="44CF3E1B" w14:textId="77777777" w:rsidR="00174C1E" w:rsidRPr="00CC28C3" w:rsidRDefault="00174C1E" w:rsidP="00174C1E">
      <w:pPr>
        <w:pStyle w:val="paragraph"/>
        <w:numPr>
          <w:ilvl w:val="1"/>
          <w:numId w:val="13"/>
        </w:numPr>
        <w:spacing w:before="0" w:beforeAutospacing="0" w:after="120" w:afterAutospacing="0"/>
        <w:textAlignment w:val="baseline"/>
        <w:rPr>
          <w:rStyle w:val="eop"/>
          <w:rFonts w:ascii="Inter" w:hAnsi="Inter" w:cs="Arial"/>
          <w:sz w:val="22"/>
          <w:szCs w:val="22"/>
        </w:rPr>
      </w:pPr>
      <w:r w:rsidRPr="00CC28C3">
        <w:rPr>
          <w:rStyle w:val="normaltextrun"/>
          <w:rFonts w:ascii="Inter" w:hAnsi="Inter" w:cs="Arial"/>
          <w:sz w:val="22"/>
          <w:szCs w:val="22"/>
        </w:rPr>
        <w:t>news media reports.</w:t>
      </w:r>
    </w:p>
    <w:p w14:paraId="5D8E5FF5" w14:textId="77777777" w:rsidR="00174C1E" w:rsidRPr="00CC28C3" w:rsidRDefault="00174C1E" w:rsidP="00174C1E">
      <w:pPr>
        <w:pStyle w:val="paragraph"/>
        <w:numPr>
          <w:ilvl w:val="0"/>
          <w:numId w:val="12"/>
        </w:numPr>
        <w:spacing w:before="120" w:beforeAutospacing="0" w:after="120" w:afterAutospacing="0"/>
        <w:textAlignment w:val="baseline"/>
        <w:rPr>
          <w:rStyle w:val="eop"/>
          <w:rFonts w:ascii="Inter" w:hAnsi="Inter" w:cs="Arial"/>
          <w:sz w:val="22"/>
          <w:szCs w:val="22"/>
        </w:rPr>
      </w:pPr>
      <w:r w:rsidRPr="00CC28C3">
        <w:rPr>
          <w:rStyle w:val="normaltextrun"/>
          <w:rFonts w:ascii="Inter" w:hAnsi="Inter" w:cs="Arial"/>
          <w:sz w:val="22"/>
          <w:szCs w:val="22"/>
        </w:rPr>
        <w:t xml:space="preserve">For award with </w:t>
      </w:r>
      <w:r w:rsidRPr="00CC28C3">
        <w:rPr>
          <w:rStyle w:val="normaltextrun"/>
          <w:rFonts w:ascii="Inter" w:hAnsi="Inter" w:cs="Arial"/>
          <w:b/>
          <w:bCs/>
          <w:i/>
          <w:iCs/>
          <w:sz w:val="22"/>
          <w:szCs w:val="22"/>
        </w:rPr>
        <w:t>Excellence</w:t>
      </w:r>
      <w:r w:rsidRPr="00CC28C3">
        <w:rPr>
          <w:rStyle w:val="normaltextrun"/>
          <w:rFonts w:ascii="Inter" w:hAnsi="Inter" w:cs="Arial"/>
          <w:i/>
          <w:iCs/>
          <w:sz w:val="22"/>
          <w:szCs w:val="22"/>
        </w:rPr>
        <w:t xml:space="preserve"> </w:t>
      </w:r>
      <w:r w:rsidRPr="00CC28C3">
        <w:rPr>
          <w:rStyle w:val="normaltextrun"/>
          <w:rFonts w:ascii="Inter" w:hAnsi="Inter" w:cs="Arial"/>
          <w:sz w:val="22"/>
          <w:szCs w:val="22"/>
        </w:rPr>
        <w:t>the fully developed explanation</w:t>
      </w:r>
      <w:r w:rsidRPr="00CC28C3">
        <w:rPr>
          <w:rStyle w:val="normaltextrun"/>
          <w:rFonts w:ascii="Inter" w:hAnsi="Inter" w:cs="Arial"/>
          <w:sz w:val="22"/>
          <w:szCs w:val="22"/>
          <w:lang w:val="en-GB"/>
        </w:rPr>
        <w:t xml:space="preserve"> of </w:t>
      </w:r>
      <w:r w:rsidRPr="00CC28C3">
        <w:rPr>
          <w:rStyle w:val="normaltextrun"/>
          <w:rFonts w:ascii="Inter" w:hAnsi="Inter" w:cs="Arial"/>
          <w:sz w:val="22"/>
          <w:szCs w:val="22"/>
        </w:rPr>
        <w:t>each litigation and/or dispute resolution process is demonstrated by:</w:t>
      </w:r>
    </w:p>
    <w:p w14:paraId="3A042527" w14:textId="77777777" w:rsidR="00174C1E" w:rsidRPr="00CC28C3" w:rsidRDefault="00174C1E" w:rsidP="00174C1E">
      <w:pPr>
        <w:pStyle w:val="paragraph"/>
        <w:numPr>
          <w:ilvl w:val="0"/>
          <w:numId w:val="13"/>
        </w:numPr>
        <w:spacing w:before="0" w:beforeAutospacing="0" w:after="0" w:afterAutospacing="0"/>
        <w:textAlignment w:val="baseline"/>
        <w:rPr>
          <w:rStyle w:val="normaltextrun"/>
          <w:rFonts w:ascii="Inter" w:hAnsi="Inter" w:cs="Arial"/>
          <w:sz w:val="22"/>
          <w:szCs w:val="22"/>
        </w:rPr>
      </w:pPr>
      <w:r w:rsidRPr="00CC28C3">
        <w:rPr>
          <w:rStyle w:val="normaltextrun"/>
          <w:rFonts w:ascii="Inter" w:hAnsi="Inter" w:cs="Arial"/>
          <w:sz w:val="22"/>
          <w:szCs w:val="22"/>
        </w:rPr>
        <w:t xml:space="preserve">discussing a strength and weakness in relation to an actual </w:t>
      </w:r>
      <w:proofErr w:type="gramStart"/>
      <w:r w:rsidRPr="00CC28C3">
        <w:rPr>
          <w:rStyle w:val="normaltextrun"/>
          <w:rFonts w:ascii="Inter" w:hAnsi="Inter" w:cs="Arial"/>
          <w:sz w:val="22"/>
          <w:szCs w:val="22"/>
        </w:rPr>
        <w:t>example;</w:t>
      </w:r>
      <w:proofErr w:type="gramEnd"/>
    </w:p>
    <w:p w14:paraId="38A53010" w14:textId="77777777" w:rsidR="00174C1E" w:rsidRDefault="00174C1E" w:rsidP="00174C1E">
      <w:pPr>
        <w:pStyle w:val="paragraph"/>
        <w:numPr>
          <w:ilvl w:val="0"/>
          <w:numId w:val="13"/>
        </w:numPr>
        <w:spacing w:before="0" w:beforeAutospacing="0" w:after="0" w:afterAutospacing="0"/>
        <w:textAlignment w:val="baseline"/>
        <w:rPr>
          <w:rStyle w:val="normaltextrun"/>
          <w:rFonts w:ascii="Inter" w:hAnsi="Inter" w:cs="Arial"/>
          <w:sz w:val="22"/>
          <w:szCs w:val="22"/>
        </w:rPr>
      </w:pPr>
      <w:r w:rsidRPr="00CC28C3">
        <w:rPr>
          <w:rStyle w:val="normaltextrun"/>
          <w:rFonts w:ascii="Inter" w:hAnsi="Inter" w:cs="Arial"/>
          <w:sz w:val="22"/>
          <w:szCs w:val="22"/>
        </w:rPr>
        <w:t xml:space="preserve">selecting and applying a range of relevant supporting </w:t>
      </w:r>
      <w:proofErr w:type="gramStart"/>
      <w:r w:rsidRPr="00CC28C3">
        <w:rPr>
          <w:rStyle w:val="normaltextrun"/>
          <w:rFonts w:ascii="Inter" w:hAnsi="Inter" w:cs="Arial"/>
          <w:sz w:val="22"/>
          <w:szCs w:val="22"/>
        </w:rPr>
        <w:t>detail;</w:t>
      </w:r>
      <w:proofErr w:type="gramEnd"/>
    </w:p>
    <w:p w14:paraId="6DFD8A8E" w14:textId="5BF09C33" w:rsidR="00174C1E" w:rsidRPr="00174C1E" w:rsidRDefault="00174C1E" w:rsidP="00174C1E">
      <w:pPr>
        <w:pStyle w:val="paragraph"/>
        <w:numPr>
          <w:ilvl w:val="0"/>
          <w:numId w:val="13"/>
        </w:numPr>
        <w:spacing w:before="0" w:beforeAutospacing="0" w:after="0" w:afterAutospacing="0"/>
        <w:textAlignment w:val="baseline"/>
        <w:rPr>
          <w:rStyle w:val="normaltextrun"/>
          <w:rFonts w:ascii="Inter" w:hAnsi="Inter" w:cs="Arial"/>
          <w:sz w:val="22"/>
          <w:szCs w:val="22"/>
        </w:rPr>
      </w:pPr>
      <w:r w:rsidRPr="00174C1E">
        <w:rPr>
          <w:rStyle w:val="normaltextrun"/>
          <w:rFonts w:ascii="Inter" w:hAnsi="Inter" w:cs="Arial"/>
          <w:sz w:val="22"/>
          <w:szCs w:val="22"/>
        </w:rPr>
        <w:t>communicating clear conclusions.</w:t>
      </w:r>
    </w:p>
    <w:p w14:paraId="46C10B38" w14:textId="380D36D6" w:rsidR="003F73CB" w:rsidRPr="003E2601" w:rsidRDefault="003F73CB" w:rsidP="00174C1E">
      <w:pPr>
        <w:pStyle w:val="Heading1"/>
        <w:rPr>
          <w:b/>
          <w:bCs/>
          <w:color w:val="005A69"/>
          <w:sz w:val="28"/>
          <w:szCs w:val="28"/>
        </w:rPr>
      </w:pPr>
      <w:r w:rsidRPr="003E2601">
        <w:rPr>
          <w:b/>
          <w:bCs/>
          <w:color w:val="005A69"/>
          <w:sz w:val="28"/>
          <w:szCs w:val="28"/>
        </w:rPr>
        <w:t>Conditions of Assessment</w:t>
      </w:r>
    </w:p>
    <w:p w14:paraId="0939FE77" w14:textId="77777777" w:rsidR="0003132B" w:rsidRPr="002F2A8F" w:rsidRDefault="0003132B" w:rsidP="0003132B">
      <w:pPr>
        <w:rPr>
          <w:rStyle w:val="eop"/>
          <w:rFonts w:cs="Arial"/>
          <w:color w:val="000000"/>
          <w:szCs w:val="22"/>
          <w:shd w:val="clear" w:color="auto" w:fill="FFFFFF"/>
        </w:rPr>
      </w:pPr>
      <w:r w:rsidRPr="002F2A8F">
        <w:rPr>
          <w:rStyle w:val="normaltextrun"/>
          <w:rFonts w:cs="Arial"/>
          <w:color w:val="000000"/>
          <w:szCs w:val="22"/>
          <w:shd w:val="clear" w:color="auto" w:fill="FFFFFF"/>
        </w:rPr>
        <w:t>Assessors will set the conditions of assessment as appropriate.</w:t>
      </w:r>
    </w:p>
    <w:p w14:paraId="5ED89AF4"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7E3ED861" w14:textId="77777777" w:rsidR="00174C1E" w:rsidRPr="00CC28C3" w:rsidRDefault="00174C1E" w:rsidP="00174C1E">
      <w:pPr>
        <w:pStyle w:val="paragraph"/>
        <w:spacing w:before="120" w:beforeAutospacing="0" w:after="120" w:afterAutospacing="0"/>
        <w:textAlignment w:val="baseline"/>
        <w:rPr>
          <w:rStyle w:val="eop"/>
          <w:rFonts w:ascii="Inter" w:hAnsi="Inter" w:cs="Arial"/>
          <w:sz w:val="22"/>
          <w:szCs w:val="22"/>
        </w:rPr>
      </w:pPr>
      <w:r w:rsidRPr="00CC28C3">
        <w:rPr>
          <w:rStyle w:val="normaltextrun"/>
          <w:rFonts w:ascii="Inter" w:eastAsiaTheme="minorEastAsia" w:hAnsi="Inter" w:cs="Arial"/>
          <w:sz w:val="22"/>
          <w:szCs w:val="22"/>
        </w:rPr>
        <w:t>This assessment activity has two tasks.</w:t>
      </w:r>
    </w:p>
    <w:p w14:paraId="4BFFF05B" w14:textId="77777777" w:rsidR="00174C1E" w:rsidRPr="00CC28C3" w:rsidRDefault="00174C1E" w:rsidP="00174C1E">
      <w:pPr>
        <w:pStyle w:val="paragraph"/>
        <w:spacing w:before="120" w:beforeAutospacing="0" w:after="120" w:afterAutospacing="0"/>
        <w:ind w:right="1380"/>
        <w:textAlignment w:val="baseline"/>
        <w:rPr>
          <w:rStyle w:val="normaltextrun"/>
          <w:rFonts w:ascii="Inter" w:eastAsiaTheme="minorEastAsia" w:hAnsi="Inter" w:cs="Arial"/>
          <w:sz w:val="22"/>
          <w:szCs w:val="22"/>
        </w:rPr>
      </w:pPr>
      <w:r w:rsidRPr="00CC28C3">
        <w:rPr>
          <w:rStyle w:val="normaltextrun"/>
          <w:rFonts w:ascii="Inter" w:eastAsiaTheme="minorEastAsia" w:hAnsi="Inter" w:cs="Arial"/>
          <w:b/>
          <w:bCs/>
          <w:sz w:val="22"/>
          <w:szCs w:val="22"/>
        </w:rPr>
        <w:t>Task One</w:t>
      </w:r>
    </w:p>
    <w:p w14:paraId="34B4BB49" w14:textId="77777777" w:rsidR="00174C1E" w:rsidRPr="00CC28C3" w:rsidRDefault="00174C1E" w:rsidP="00174C1E">
      <w:pPr>
        <w:pStyle w:val="paragraph"/>
        <w:spacing w:before="120" w:beforeAutospacing="0" w:after="120" w:afterAutospacing="0"/>
        <w:ind w:right="1380"/>
        <w:textAlignment w:val="baseline"/>
        <w:rPr>
          <w:rStyle w:val="normaltextrun"/>
          <w:rFonts w:ascii="Inter" w:eastAsiaTheme="minorEastAsia" w:hAnsi="Inter" w:cs="Arial"/>
          <w:sz w:val="22"/>
          <w:szCs w:val="22"/>
        </w:rPr>
      </w:pPr>
      <w:r w:rsidRPr="00CC28C3">
        <w:rPr>
          <w:rStyle w:val="normaltextrun"/>
          <w:rFonts w:ascii="Inter" w:eastAsiaTheme="minorEastAsia" w:hAnsi="Inter" w:cs="Arial"/>
          <w:sz w:val="22"/>
          <w:szCs w:val="22"/>
        </w:rPr>
        <w:t>Explain key features of New Zealand criminal law indictable processes in terms of the key elements of the selected legal system.</w:t>
      </w:r>
    </w:p>
    <w:p w14:paraId="1481AC66" w14:textId="77777777" w:rsidR="00174C1E" w:rsidRPr="00CC28C3" w:rsidRDefault="00174C1E" w:rsidP="00174C1E">
      <w:pPr>
        <w:pStyle w:val="paragraph"/>
        <w:spacing w:before="120" w:beforeAutospacing="0" w:after="120" w:afterAutospacing="0"/>
        <w:ind w:right="1320"/>
        <w:textAlignment w:val="baseline"/>
        <w:rPr>
          <w:rStyle w:val="eop"/>
          <w:rFonts w:ascii="Inter" w:hAnsi="Inter" w:cs="Arial"/>
          <w:sz w:val="22"/>
          <w:szCs w:val="22"/>
        </w:rPr>
      </w:pPr>
      <w:r w:rsidRPr="00CC28C3">
        <w:rPr>
          <w:rStyle w:val="normaltextrun"/>
          <w:rFonts w:ascii="Inter" w:eastAsiaTheme="minorEastAsia" w:hAnsi="Inter" w:cs="Arial"/>
          <w:b/>
          <w:bCs/>
          <w:sz w:val="22"/>
          <w:szCs w:val="22"/>
        </w:rPr>
        <w:t>Task Two</w:t>
      </w:r>
    </w:p>
    <w:p w14:paraId="4DBF8677" w14:textId="77777777" w:rsidR="00174C1E" w:rsidRPr="00CC28C3" w:rsidRDefault="00174C1E" w:rsidP="00174C1E">
      <w:pPr>
        <w:pStyle w:val="paragraph"/>
        <w:spacing w:before="120" w:beforeAutospacing="0" w:after="120" w:afterAutospacing="0"/>
        <w:ind w:right="1320"/>
        <w:textAlignment w:val="baseline"/>
        <w:rPr>
          <w:rStyle w:val="eop"/>
          <w:rFonts w:ascii="Inter" w:hAnsi="Inter" w:cs="Arial"/>
          <w:sz w:val="22"/>
          <w:szCs w:val="22"/>
        </w:rPr>
      </w:pPr>
      <w:r w:rsidRPr="00CC28C3">
        <w:rPr>
          <w:rStyle w:val="normaltextrun"/>
          <w:rFonts w:ascii="Inter" w:eastAsiaTheme="minorEastAsia" w:hAnsi="Inter" w:cs="Arial"/>
          <w:sz w:val="22"/>
          <w:szCs w:val="22"/>
        </w:rPr>
        <w:t>Explain key features/elements of New Zealand civil litigation processes in terms of participants, methods, outcomes, underlying principles, and one strength and one weakness.</w:t>
      </w:r>
    </w:p>
    <w:p w14:paraId="1D128402"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045D2531" w14:textId="77777777" w:rsidR="00174C1E" w:rsidRPr="00CC28C3" w:rsidRDefault="00174C1E" w:rsidP="00174C1E">
      <w:pPr>
        <w:pStyle w:val="paragraph"/>
        <w:spacing w:before="120" w:beforeAutospacing="0" w:after="120" w:afterAutospacing="0"/>
        <w:textAlignment w:val="baseline"/>
        <w:rPr>
          <w:rStyle w:val="eop"/>
          <w:rFonts w:ascii="Inter" w:hAnsi="Inter" w:cs="Arial"/>
          <w:sz w:val="22"/>
          <w:szCs w:val="22"/>
        </w:rPr>
      </w:pPr>
      <w:r w:rsidRPr="00CC28C3">
        <w:rPr>
          <w:rStyle w:val="normaltextrun"/>
          <w:rFonts w:ascii="Inter" w:eastAsiaTheme="minorEastAsia" w:hAnsi="Inter" w:cs="Arial"/>
          <w:sz w:val="22"/>
          <w:szCs w:val="22"/>
        </w:rPr>
        <w:t>Assessors may find the following resources useful.</w:t>
      </w:r>
    </w:p>
    <w:p w14:paraId="04687A25" w14:textId="77777777" w:rsidR="00174C1E" w:rsidRPr="00CC28C3" w:rsidRDefault="00174C1E" w:rsidP="00174C1E">
      <w:pPr>
        <w:pStyle w:val="paragraph"/>
        <w:spacing w:before="120" w:beforeAutospacing="0" w:after="120" w:afterAutospacing="0"/>
        <w:textAlignment w:val="baseline"/>
        <w:rPr>
          <w:rStyle w:val="eop"/>
          <w:rFonts w:ascii="Inter" w:hAnsi="Inter" w:cs="Arial"/>
          <w:sz w:val="22"/>
          <w:szCs w:val="22"/>
        </w:rPr>
      </w:pPr>
      <w:r w:rsidRPr="00CC28C3">
        <w:rPr>
          <w:rStyle w:val="normaltextrun"/>
          <w:rFonts w:ascii="Inter" w:eastAsiaTheme="minorEastAsia" w:hAnsi="Inter" w:cs="Arial"/>
          <w:sz w:val="22"/>
          <w:szCs w:val="22"/>
        </w:rPr>
        <w:t xml:space="preserve">Suitable cases to study in class could include </w:t>
      </w:r>
      <w:r w:rsidRPr="00CC28C3">
        <w:rPr>
          <w:rStyle w:val="normaltextrun"/>
          <w:rFonts w:ascii="Inter" w:eastAsiaTheme="minorEastAsia" w:hAnsi="Inter" w:cs="Arial"/>
          <w:i/>
          <w:iCs/>
          <w:sz w:val="22"/>
          <w:szCs w:val="22"/>
        </w:rPr>
        <w:t xml:space="preserve">R v Weatherston </w:t>
      </w:r>
      <w:r w:rsidRPr="00CC28C3">
        <w:rPr>
          <w:rStyle w:val="normaltextrun"/>
          <w:rFonts w:ascii="Inter" w:eastAsiaTheme="minorEastAsia" w:hAnsi="Inter" w:cs="Arial"/>
          <w:sz w:val="22"/>
          <w:szCs w:val="22"/>
        </w:rPr>
        <w:t>(indictable criminal case) and</w:t>
      </w:r>
      <w:r w:rsidRPr="00CC28C3">
        <w:rPr>
          <w:rStyle w:val="eop"/>
          <w:rFonts w:ascii="Inter" w:hAnsi="Inter" w:cs="Arial"/>
          <w:sz w:val="22"/>
          <w:szCs w:val="22"/>
        </w:rPr>
        <w:t> </w:t>
      </w:r>
      <w:r w:rsidRPr="00CC28C3">
        <w:rPr>
          <w:rStyle w:val="normaltextrun"/>
          <w:rFonts w:ascii="Inter" w:eastAsiaTheme="minorEastAsia" w:hAnsi="Inter" w:cs="Arial"/>
          <w:i/>
          <w:iCs/>
          <w:sz w:val="22"/>
          <w:szCs w:val="22"/>
        </w:rPr>
        <w:t xml:space="preserve">Hosking v </w:t>
      </w:r>
      <w:proofErr w:type="spellStart"/>
      <w:r w:rsidRPr="00CC28C3">
        <w:rPr>
          <w:rStyle w:val="normaltextrun"/>
          <w:rFonts w:ascii="Inter" w:eastAsiaTheme="minorEastAsia" w:hAnsi="Inter" w:cs="Arial"/>
          <w:i/>
          <w:iCs/>
          <w:sz w:val="22"/>
          <w:szCs w:val="22"/>
        </w:rPr>
        <w:t>Runting</w:t>
      </w:r>
      <w:proofErr w:type="spellEnd"/>
      <w:r w:rsidRPr="00CC28C3">
        <w:rPr>
          <w:rStyle w:val="normaltextrun"/>
          <w:rFonts w:ascii="Inter" w:eastAsiaTheme="minorEastAsia" w:hAnsi="Inter" w:cs="Arial"/>
          <w:i/>
          <w:iCs/>
          <w:sz w:val="22"/>
          <w:szCs w:val="22"/>
        </w:rPr>
        <w:t xml:space="preserve"> </w:t>
      </w:r>
      <w:r w:rsidRPr="00CC28C3">
        <w:rPr>
          <w:rStyle w:val="normaltextrun"/>
          <w:rFonts w:ascii="Inter" w:eastAsiaTheme="minorEastAsia" w:hAnsi="Inter" w:cs="Arial"/>
          <w:sz w:val="22"/>
          <w:szCs w:val="22"/>
        </w:rPr>
        <w:t>(civil case: tort - breach of privacy).</w:t>
      </w:r>
    </w:p>
    <w:p w14:paraId="37229527" w14:textId="77777777" w:rsidR="00174C1E" w:rsidRPr="00CC28C3" w:rsidRDefault="00174C1E" w:rsidP="00174C1E">
      <w:pPr>
        <w:pStyle w:val="paragraph"/>
        <w:spacing w:before="120" w:beforeAutospacing="0" w:after="120" w:afterAutospacing="0"/>
        <w:ind w:right="1650"/>
        <w:textAlignment w:val="baseline"/>
        <w:rPr>
          <w:rStyle w:val="eop"/>
          <w:rFonts w:ascii="Inter" w:hAnsi="Inter" w:cs="Arial"/>
          <w:sz w:val="22"/>
          <w:szCs w:val="22"/>
        </w:rPr>
      </w:pPr>
      <w:r w:rsidRPr="00CC28C3">
        <w:rPr>
          <w:rStyle w:val="normaltextrun"/>
          <w:rFonts w:ascii="Inter" w:eastAsiaTheme="minorEastAsia" w:hAnsi="Inter" w:cs="Arial"/>
          <w:sz w:val="22"/>
          <w:szCs w:val="22"/>
        </w:rPr>
        <w:t>See</w:t>
      </w:r>
      <w:r w:rsidRPr="00CC28C3">
        <w:rPr>
          <w:rStyle w:val="normaltextrun"/>
          <w:rFonts w:ascii="Inter" w:eastAsiaTheme="minorEastAsia" w:hAnsi="Inter" w:cs="Arial"/>
          <w:color w:val="0000FF"/>
          <w:sz w:val="22"/>
          <w:szCs w:val="22"/>
          <w:u w:val="single"/>
        </w:rPr>
        <w:t xml:space="preserve"> https:</w:t>
      </w:r>
      <w:hyperlink r:id="rId13">
        <w:r w:rsidRPr="00CC28C3">
          <w:rPr>
            <w:rStyle w:val="normaltextrun"/>
            <w:rFonts w:ascii="Inter" w:eastAsiaTheme="minorEastAsia" w:hAnsi="Inter" w:cs="Arial"/>
            <w:color w:val="0000FF"/>
            <w:sz w:val="22"/>
            <w:szCs w:val="22"/>
            <w:u w:val="single"/>
          </w:rPr>
          <w:t>//w</w:t>
        </w:r>
      </w:hyperlink>
      <w:r w:rsidRPr="00CC28C3">
        <w:rPr>
          <w:rStyle w:val="normaltextrun"/>
          <w:rFonts w:ascii="Inter" w:eastAsiaTheme="minorEastAsia" w:hAnsi="Inter" w:cs="Arial"/>
          <w:color w:val="0000FF"/>
          <w:sz w:val="22"/>
          <w:szCs w:val="22"/>
          <w:u w:val="single"/>
        </w:rPr>
        <w:t>ww</w:t>
      </w:r>
      <w:hyperlink r:id="rId14">
        <w:r w:rsidRPr="00CC28C3">
          <w:rPr>
            <w:rStyle w:val="normaltextrun"/>
            <w:rFonts w:ascii="Inter" w:eastAsiaTheme="minorEastAsia" w:hAnsi="Inter" w:cs="Arial"/>
            <w:color w:val="0000FF"/>
            <w:sz w:val="22"/>
            <w:szCs w:val="22"/>
            <w:u w:val="single"/>
          </w:rPr>
          <w:t>.courtsofnz.govt.nz/judgments</w:t>
        </w:r>
        <w:r w:rsidRPr="00CC28C3">
          <w:rPr>
            <w:rStyle w:val="normaltextrun"/>
            <w:rFonts w:ascii="Inter" w:eastAsiaTheme="minorEastAsia" w:hAnsi="Inter" w:cs="Arial"/>
            <w:color w:val="0000FF"/>
            <w:sz w:val="22"/>
            <w:szCs w:val="22"/>
          </w:rPr>
          <w:t xml:space="preserve"> </w:t>
        </w:r>
      </w:hyperlink>
      <w:r w:rsidRPr="00CC28C3">
        <w:rPr>
          <w:rStyle w:val="normaltextrun"/>
          <w:rFonts w:ascii="Inter" w:eastAsiaTheme="minorEastAsia" w:hAnsi="Inter" w:cs="Arial"/>
          <w:sz w:val="22"/>
          <w:szCs w:val="22"/>
        </w:rPr>
        <w:t>for reports of judicial decisions on a variety of criminal and civil cases.</w:t>
      </w:r>
    </w:p>
    <w:p w14:paraId="44C0C1BC" w14:textId="77777777" w:rsidR="00174C1E" w:rsidRPr="00CC28C3" w:rsidRDefault="00174C1E" w:rsidP="00174C1E">
      <w:pPr>
        <w:pStyle w:val="paragraph"/>
        <w:spacing w:before="120" w:beforeAutospacing="0" w:after="120" w:afterAutospacing="0"/>
        <w:textAlignment w:val="baseline"/>
        <w:rPr>
          <w:rStyle w:val="eop"/>
          <w:rFonts w:ascii="Inter" w:hAnsi="Inter" w:cs="Arial"/>
          <w:sz w:val="22"/>
          <w:szCs w:val="22"/>
        </w:rPr>
      </w:pPr>
      <w:r w:rsidRPr="00CC28C3">
        <w:rPr>
          <w:rStyle w:val="normaltextrun"/>
          <w:rFonts w:ascii="Inter" w:eastAsiaTheme="minorEastAsia" w:hAnsi="Inter" w:cs="Arial"/>
          <w:color w:val="0000FF"/>
          <w:sz w:val="22"/>
          <w:szCs w:val="22"/>
          <w:u w:val="single"/>
        </w:rPr>
        <w:t xml:space="preserve">https://www.legislation.govt.nz/ </w:t>
      </w:r>
    </w:p>
    <w:p w14:paraId="31D5333F" w14:textId="77777777" w:rsidR="00174C1E" w:rsidRPr="00CC28C3" w:rsidRDefault="00174C1E" w:rsidP="00174C1E">
      <w:pPr>
        <w:pStyle w:val="paragraph"/>
        <w:spacing w:before="120" w:beforeAutospacing="0" w:after="120" w:afterAutospacing="0"/>
        <w:textAlignment w:val="baseline"/>
        <w:rPr>
          <w:rStyle w:val="eop"/>
          <w:rFonts w:ascii="Inter" w:hAnsi="Inter" w:cs="Arial"/>
          <w:sz w:val="22"/>
          <w:szCs w:val="22"/>
        </w:rPr>
      </w:pPr>
      <w:hyperlink r:id="rId15">
        <w:r w:rsidRPr="00CC28C3">
          <w:rPr>
            <w:rStyle w:val="normaltextrun"/>
            <w:rFonts w:ascii="Inter" w:eastAsiaTheme="minorEastAsia" w:hAnsi="Inter" w:cs="Arial"/>
            <w:color w:val="0000FF"/>
            <w:sz w:val="22"/>
            <w:szCs w:val="22"/>
            <w:u w:val="single"/>
          </w:rPr>
          <w:t>www.justice.govt.nz/courts</w:t>
        </w:r>
      </w:hyperlink>
    </w:p>
    <w:p w14:paraId="5B1BCB95" w14:textId="77777777" w:rsidR="00174C1E" w:rsidRPr="00CC28C3" w:rsidRDefault="00174C1E" w:rsidP="00174C1E">
      <w:pPr>
        <w:pStyle w:val="paragraph"/>
        <w:spacing w:before="120" w:beforeAutospacing="0" w:after="120" w:afterAutospacing="0"/>
        <w:rPr>
          <w:rStyle w:val="normaltextrun"/>
          <w:rFonts w:ascii="Inter" w:eastAsiaTheme="minorEastAsia" w:hAnsi="Inter" w:cs="Arial"/>
          <w:color w:val="0000FF"/>
          <w:sz w:val="22"/>
          <w:szCs w:val="22"/>
          <w:u w:val="single"/>
        </w:rPr>
      </w:pPr>
      <w:r w:rsidRPr="00CC28C3">
        <w:rPr>
          <w:rStyle w:val="normaltextrun"/>
          <w:rFonts w:ascii="Inter" w:eastAsiaTheme="minorEastAsia" w:hAnsi="Inter" w:cs="Arial"/>
          <w:color w:val="0000FF"/>
          <w:sz w:val="22"/>
          <w:szCs w:val="22"/>
          <w:u w:val="single"/>
        </w:rPr>
        <w:lastRenderedPageBreak/>
        <w:t>https://www.justice.govt.nz/courts</w:t>
      </w:r>
    </w:p>
    <w:p w14:paraId="5A82E144"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392655E5" w14:textId="77777777" w:rsidR="00174C1E" w:rsidRPr="00CC28C3" w:rsidRDefault="00174C1E" w:rsidP="00174C1E">
      <w:pPr>
        <w:rPr>
          <w:rFonts w:eastAsia="Inter" w:cs="Inter"/>
          <w:szCs w:val="22"/>
          <w:lang w:val="en-US"/>
        </w:rPr>
      </w:pPr>
      <w:r w:rsidRPr="00CC28C3">
        <w:rPr>
          <w:rStyle w:val="normaltextrun"/>
          <w:rFonts w:eastAsia="Inter" w:cs="Inter"/>
          <w:color w:val="000000" w:themeColor="text1"/>
          <w:szCs w:val="22"/>
        </w:rPr>
        <w:t xml:space="preserve">Teaching and learning guidelines that inform legal studies as it is taught in New Zealand can be found at </w:t>
      </w:r>
      <w:hyperlink r:id="rId16">
        <w:r w:rsidRPr="00CC28C3">
          <w:rPr>
            <w:rStyle w:val="Hyperlink"/>
            <w:rFonts w:eastAsia="Inter" w:cs="Inter"/>
            <w:szCs w:val="22"/>
          </w:rPr>
          <w:t>https://seniorsecondary.tki.org.nz/Social-sciences/Legal-studies</w:t>
        </w:r>
      </w:hyperlink>
    </w:p>
    <w:p w14:paraId="6DD071AF" w14:textId="77777777" w:rsidR="001D1125" w:rsidRPr="00D0053D" w:rsidRDefault="001D1125" w:rsidP="00D0053D">
      <w:pPr>
        <w:pStyle w:val="ASMItalics"/>
        <w:sectPr w:rsidR="001D1125" w:rsidRPr="00D0053D" w:rsidSect="007E7E7D">
          <w:footerReference w:type="even" r:id="rId17"/>
          <w:footerReference w:type="default" r:id="rId18"/>
          <w:headerReference w:type="first" r:id="rId19"/>
          <w:footerReference w:type="first" r:id="rId20"/>
          <w:pgSz w:w="11906" w:h="16838"/>
          <w:pgMar w:top="1440" w:right="1440" w:bottom="1440" w:left="1440" w:header="1984" w:footer="709" w:gutter="0"/>
          <w:cols w:space="708"/>
          <w:titlePg/>
          <w:docGrid w:linePitch="360"/>
        </w:sectPr>
      </w:pPr>
    </w:p>
    <w:p w14:paraId="70A63072"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323102D3" w14:textId="77777777" w:rsidTr="00C733E4">
        <w:trPr>
          <w:trHeight w:val="541"/>
        </w:trPr>
        <w:tc>
          <w:tcPr>
            <w:tcW w:w="2681" w:type="dxa"/>
            <w:tcBorders>
              <w:right w:val="single" w:sz="4" w:space="0" w:color="auto"/>
            </w:tcBorders>
            <w:shd w:val="clear" w:color="auto" w:fill="F2F2F2" w:themeFill="background1" w:themeFillShade="F2"/>
            <w:vAlign w:val="center"/>
          </w:tcPr>
          <w:p w14:paraId="329D7894"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5E27A6A5" w14:textId="78FC655A" w:rsidR="003F2386" w:rsidRPr="005C77DB" w:rsidRDefault="00174C1E" w:rsidP="000D22C4">
            <w:pPr>
              <w:rPr>
                <w:rFonts w:asciiTheme="minorHAnsi" w:hAnsiTheme="minorHAnsi"/>
              </w:rPr>
            </w:pPr>
            <w:r>
              <w:t>27845</w:t>
            </w:r>
          </w:p>
        </w:tc>
      </w:tr>
      <w:tr w:rsidR="003F73CB" w14:paraId="27D40DEE" w14:textId="77777777" w:rsidTr="00C733E4">
        <w:trPr>
          <w:trHeight w:val="421"/>
        </w:trPr>
        <w:tc>
          <w:tcPr>
            <w:tcW w:w="2681" w:type="dxa"/>
            <w:shd w:val="clear" w:color="auto" w:fill="F2F2F2" w:themeFill="background1" w:themeFillShade="F2"/>
            <w:vAlign w:val="center"/>
          </w:tcPr>
          <w:p w14:paraId="1D462E4C"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286AE4B0" w14:textId="2F9DC2F8" w:rsidR="003F73CB" w:rsidRPr="00235FFE" w:rsidRDefault="00174C1E" w:rsidP="00644755">
            <w:r>
              <w:t>Explain litigation and dispute resolution processes</w:t>
            </w:r>
          </w:p>
        </w:tc>
      </w:tr>
      <w:tr w:rsidR="003F2386" w14:paraId="557B7B77" w14:textId="77777777" w:rsidTr="00644755">
        <w:trPr>
          <w:trHeight w:val="413"/>
        </w:trPr>
        <w:tc>
          <w:tcPr>
            <w:tcW w:w="2681" w:type="dxa"/>
            <w:shd w:val="clear" w:color="auto" w:fill="F2F2F2" w:themeFill="background1" w:themeFillShade="F2"/>
            <w:vAlign w:val="center"/>
          </w:tcPr>
          <w:p w14:paraId="0D271CB6"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30851CE7" w14:textId="58B808FA" w:rsidR="003F2386" w:rsidRPr="00235FFE" w:rsidRDefault="00174C1E" w:rsidP="00644755">
            <w:r>
              <w:t>2</w:t>
            </w:r>
          </w:p>
        </w:tc>
        <w:tc>
          <w:tcPr>
            <w:tcW w:w="2484" w:type="dxa"/>
            <w:shd w:val="clear" w:color="auto" w:fill="F2F2F2" w:themeFill="background1" w:themeFillShade="F2"/>
            <w:vAlign w:val="center"/>
          </w:tcPr>
          <w:p w14:paraId="7DB298E4"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47A04DE7" w14:textId="71D906E4" w:rsidR="003F2386" w:rsidRPr="00235FFE" w:rsidRDefault="00174C1E" w:rsidP="00644755">
            <w:r>
              <w:t>4</w:t>
            </w:r>
          </w:p>
        </w:tc>
        <w:tc>
          <w:tcPr>
            <w:tcW w:w="2484" w:type="dxa"/>
            <w:shd w:val="clear" w:color="auto" w:fill="F2F2F2" w:themeFill="background1" w:themeFillShade="F2"/>
            <w:vAlign w:val="center"/>
          </w:tcPr>
          <w:p w14:paraId="6BD9601F"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0D4970DD" w14:textId="13468F92" w:rsidR="003F2386" w:rsidRPr="00235FFE" w:rsidRDefault="00174C1E" w:rsidP="00644755">
            <w:r>
              <w:t>3</w:t>
            </w:r>
          </w:p>
        </w:tc>
      </w:tr>
    </w:tbl>
    <w:p w14:paraId="7D3C725F" w14:textId="77777777" w:rsidR="003F2386" w:rsidRDefault="003F2386" w:rsidP="00212C53"/>
    <w:p w14:paraId="12FCA72B"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4D1D72FB" w14:textId="77777777" w:rsidTr="00DD30BE">
        <w:tc>
          <w:tcPr>
            <w:tcW w:w="1664" w:type="pct"/>
            <w:tcBorders>
              <w:bottom w:val="single" w:sz="4" w:space="0" w:color="auto"/>
            </w:tcBorders>
            <w:shd w:val="clear" w:color="auto" w:fill="F2F2F2" w:themeFill="background1" w:themeFillShade="F2"/>
            <w:vAlign w:val="center"/>
          </w:tcPr>
          <w:p w14:paraId="01A5CB75"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507AE8C5"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1640C049"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3F73CB" w14:paraId="7D99AC8C" w14:textId="77777777" w:rsidTr="0005677A">
        <w:tc>
          <w:tcPr>
            <w:tcW w:w="1664" w:type="pct"/>
            <w:tcBorders>
              <w:top w:val="single" w:sz="4" w:space="0" w:color="auto"/>
              <w:left w:val="single" w:sz="4" w:space="0" w:color="auto"/>
              <w:bottom w:val="single" w:sz="4" w:space="0" w:color="auto"/>
              <w:right w:val="single" w:sz="4" w:space="0" w:color="auto"/>
            </w:tcBorders>
          </w:tcPr>
          <w:p w14:paraId="519BF17C" w14:textId="77777777" w:rsidR="00174C1E" w:rsidRPr="00F25A1C" w:rsidRDefault="00174C1E" w:rsidP="00174C1E">
            <w:pPr>
              <w:rPr>
                <w:rStyle w:val="eop"/>
                <w:rFonts w:cs="Arial"/>
                <w:szCs w:val="22"/>
              </w:rPr>
            </w:pPr>
            <w:r w:rsidRPr="00F25A1C">
              <w:rPr>
                <w:rStyle w:val="normaltextrun"/>
                <w:rFonts w:cs="Arial"/>
                <w:szCs w:val="22"/>
              </w:rPr>
              <w:t>Litigation and dispute resolution processes are explained, with supporting detail, in terms of the key element(s) of selected legal system(s).</w:t>
            </w:r>
          </w:p>
          <w:p w14:paraId="668C0E04" w14:textId="77777777" w:rsidR="00174C1E" w:rsidRPr="00F25A1C" w:rsidRDefault="00174C1E" w:rsidP="00174C1E">
            <w:pPr>
              <w:rPr>
                <w:rStyle w:val="eop"/>
                <w:rFonts w:cs="Arial"/>
                <w:szCs w:val="22"/>
              </w:rPr>
            </w:pPr>
            <w:r w:rsidRPr="00F25A1C">
              <w:rPr>
                <w:rStyle w:val="normaltextrun"/>
                <w:rFonts w:cs="Arial"/>
                <w:szCs w:val="22"/>
              </w:rPr>
              <w:t>One litigation and one dispute resolution process from the same, or from two different, legal system(s).</w:t>
            </w:r>
          </w:p>
          <w:p w14:paraId="2602A5D7" w14:textId="77777777" w:rsidR="00174C1E" w:rsidRPr="00F25A1C" w:rsidRDefault="00174C1E" w:rsidP="00174C1E">
            <w:pPr>
              <w:rPr>
                <w:rStyle w:val="eop"/>
                <w:rFonts w:cs="Arial"/>
                <w:szCs w:val="22"/>
              </w:rPr>
            </w:pPr>
            <w:r w:rsidRPr="00F25A1C">
              <w:rPr>
                <w:rStyle w:val="normaltextrun"/>
                <w:rFonts w:cs="Arial"/>
                <w:szCs w:val="22"/>
              </w:rPr>
              <w:t>Legal system(s) may include – national, international, historical, traditional.</w:t>
            </w:r>
          </w:p>
          <w:p w14:paraId="4EA102A5" w14:textId="77777777" w:rsidR="00174C1E" w:rsidRPr="00F25A1C" w:rsidRDefault="00174C1E" w:rsidP="00174C1E">
            <w:pPr>
              <w:rPr>
                <w:rStyle w:val="eop"/>
                <w:rFonts w:cs="Arial"/>
                <w:szCs w:val="22"/>
              </w:rPr>
            </w:pPr>
            <w:r w:rsidRPr="00F25A1C">
              <w:rPr>
                <w:rStyle w:val="normaltextrun"/>
                <w:rFonts w:cs="Arial"/>
                <w:szCs w:val="22"/>
              </w:rPr>
              <w:t>Supporting detail includes – participants, methods, outcomes and underlying principles.</w:t>
            </w:r>
          </w:p>
          <w:p w14:paraId="7DD0E571" w14:textId="11EF501B" w:rsidR="003F73CB" w:rsidRPr="003F73CB" w:rsidRDefault="00174C1E" w:rsidP="00174C1E">
            <w:r w:rsidRPr="4617ADF2">
              <w:rPr>
                <w:rStyle w:val="normaltextrun"/>
                <w:rFonts w:cs="Arial"/>
              </w:rPr>
              <w:t xml:space="preserve">Key element(s) are the generally accepted components of litigation and dispute </w:t>
            </w:r>
            <w:r w:rsidRPr="4617ADF2">
              <w:rPr>
                <w:rStyle w:val="normaltextrun"/>
                <w:rFonts w:eastAsia="Inter" w:cs="Inter"/>
              </w:rPr>
              <w:t>resolution processes.</w:t>
            </w:r>
          </w:p>
        </w:tc>
        <w:tc>
          <w:tcPr>
            <w:tcW w:w="1669" w:type="pct"/>
            <w:tcBorders>
              <w:top w:val="single" w:sz="4" w:space="0" w:color="auto"/>
              <w:left w:val="single" w:sz="4" w:space="0" w:color="auto"/>
              <w:bottom w:val="single" w:sz="4" w:space="0" w:color="auto"/>
              <w:right w:val="single" w:sz="4" w:space="0" w:color="auto"/>
            </w:tcBorders>
          </w:tcPr>
          <w:p w14:paraId="12BC3411" w14:textId="77777777" w:rsidR="00174C1E" w:rsidRPr="00F25A1C" w:rsidRDefault="00174C1E" w:rsidP="00174C1E">
            <w:pPr>
              <w:rPr>
                <w:rStyle w:val="eop"/>
                <w:rFonts w:cs="Arial"/>
                <w:szCs w:val="22"/>
              </w:rPr>
            </w:pPr>
            <w:r w:rsidRPr="00F25A1C">
              <w:rPr>
                <w:rStyle w:val="normaltextrun"/>
                <w:rFonts w:cs="Arial"/>
                <w:szCs w:val="22"/>
              </w:rPr>
              <w:t>The explanation of the litigation and dispute resolution processes is developed by including relevant supporting detail including:</w:t>
            </w:r>
          </w:p>
          <w:p w14:paraId="59262A78" w14:textId="77777777" w:rsidR="00174C1E" w:rsidRPr="0003132B" w:rsidRDefault="00174C1E" w:rsidP="0003132B">
            <w:pPr>
              <w:pStyle w:val="ListParagraph"/>
              <w:numPr>
                <w:ilvl w:val="0"/>
                <w:numId w:val="15"/>
              </w:numPr>
              <w:rPr>
                <w:rStyle w:val="eop"/>
                <w:rFonts w:cs="Arial"/>
                <w:szCs w:val="22"/>
              </w:rPr>
            </w:pPr>
            <w:r w:rsidRPr="0003132B">
              <w:rPr>
                <w:rStyle w:val="normaltextrun"/>
                <w:rFonts w:cs="Arial"/>
                <w:szCs w:val="22"/>
              </w:rPr>
              <w:t xml:space="preserve">describing one strength and one weakness for each </w:t>
            </w:r>
            <w:proofErr w:type="gramStart"/>
            <w:r w:rsidRPr="0003132B">
              <w:rPr>
                <w:rStyle w:val="normaltextrun"/>
                <w:rFonts w:cs="Arial"/>
                <w:szCs w:val="22"/>
              </w:rPr>
              <w:t>process;</w:t>
            </w:r>
            <w:proofErr w:type="gramEnd"/>
          </w:p>
          <w:p w14:paraId="28382393" w14:textId="77777777" w:rsidR="00174C1E" w:rsidRPr="0003132B" w:rsidRDefault="00174C1E" w:rsidP="0003132B">
            <w:pPr>
              <w:pStyle w:val="ListParagraph"/>
              <w:numPr>
                <w:ilvl w:val="0"/>
                <w:numId w:val="15"/>
              </w:numPr>
              <w:rPr>
                <w:rStyle w:val="eop"/>
                <w:rFonts w:cs="Arial"/>
                <w:szCs w:val="22"/>
              </w:rPr>
            </w:pPr>
            <w:r w:rsidRPr="0003132B">
              <w:rPr>
                <w:rStyle w:val="normaltextrun"/>
                <w:rFonts w:cs="Arial"/>
                <w:szCs w:val="22"/>
              </w:rPr>
              <w:t>selecting and applying relevant supporting detail that may include but is not limited to any one of:</w:t>
            </w:r>
          </w:p>
          <w:p w14:paraId="0CB97A0C" w14:textId="77777777" w:rsidR="00174C1E" w:rsidRPr="00F25A1C" w:rsidRDefault="00174C1E" w:rsidP="0003132B">
            <w:pPr>
              <w:pStyle w:val="ListParagraph"/>
              <w:numPr>
                <w:ilvl w:val="0"/>
                <w:numId w:val="14"/>
              </w:numPr>
              <w:tabs>
                <w:tab w:val="left" w:pos="321"/>
              </w:tabs>
              <w:rPr>
                <w:rStyle w:val="eop"/>
                <w:rFonts w:cs="Arial"/>
                <w:szCs w:val="22"/>
              </w:rPr>
            </w:pPr>
            <w:r w:rsidRPr="00F25A1C">
              <w:rPr>
                <w:rStyle w:val="normaltextrun"/>
                <w:rFonts w:cs="Arial"/>
                <w:szCs w:val="22"/>
              </w:rPr>
              <w:t xml:space="preserve">particular facts and </w:t>
            </w:r>
            <w:proofErr w:type="gramStart"/>
            <w:r w:rsidRPr="00F25A1C">
              <w:rPr>
                <w:rStyle w:val="normaltextrun"/>
                <w:rFonts w:cs="Arial"/>
                <w:szCs w:val="22"/>
              </w:rPr>
              <w:t>legislation;</w:t>
            </w:r>
            <w:proofErr w:type="gramEnd"/>
          </w:p>
          <w:p w14:paraId="428BE850" w14:textId="77777777" w:rsidR="00174C1E" w:rsidRPr="00F25A1C" w:rsidRDefault="00174C1E" w:rsidP="0003132B">
            <w:pPr>
              <w:pStyle w:val="ListParagraph"/>
              <w:numPr>
                <w:ilvl w:val="0"/>
                <w:numId w:val="14"/>
              </w:numPr>
              <w:tabs>
                <w:tab w:val="left" w:pos="321"/>
              </w:tabs>
              <w:rPr>
                <w:rStyle w:val="eop"/>
                <w:rFonts w:cs="Arial"/>
                <w:szCs w:val="22"/>
              </w:rPr>
            </w:pPr>
            <w:r w:rsidRPr="00F25A1C">
              <w:rPr>
                <w:rStyle w:val="normaltextrun"/>
                <w:rFonts w:cs="Arial"/>
                <w:szCs w:val="22"/>
              </w:rPr>
              <w:t xml:space="preserve">past or present </w:t>
            </w:r>
            <w:proofErr w:type="gramStart"/>
            <w:r w:rsidRPr="00F25A1C">
              <w:rPr>
                <w:rStyle w:val="normaltextrun"/>
                <w:rFonts w:cs="Arial"/>
                <w:szCs w:val="22"/>
              </w:rPr>
              <w:t>events;</w:t>
            </w:r>
            <w:proofErr w:type="gramEnd"/>
          </w:p>
          <w:p w14:paraId="20D34D28" w14:textId="77777777" w:rsidR="00A47CCE" w:rsidRPr="00A47CCE" w:rsidRDefault="00174C1E" w:rsidP="0003132B">
            <w:pPr>
              <w:pStyle w:val="ListParagraph"/>
              <w:numPr>
                <w:ilvl w:val="0"/>
                <w:numId w:val="14"/>
              </w:numPr>
              <w:tabs>
                <w:tab w:val="left" w:pos="321"/>
              </w:tabs>
              <w:rPr>
                <w:rStyle w:val="normaltextrun"/>
                <w:rFonts w:cs="Arial"/>
                <w:szCs w:val="22"/>
              </w:rPr>
            </w:pPr>
            <w:r w:rsidRPr="00F25A1C">
              <w:rPr>
                <w:rStyle w:val="normaltextrun"/>
                <w:rFonts w:cs="Arial"/>
                <w:szCs w:val="22"/>
              </w:rPr>
              <w:t xml:space="preserve">case studies, actual examples, </w:t>
            </w:r>
            <w:proofErr w:type="gramStart"/>
            <w:r w:rsidRPr="00F25A1C">
              <w:rPr>
                <w:rStyle w:val="normaltextrun"/>
                <w:rFonts w:cs="Arial"/>
                <w:szCs w:val="22"/>
              </w:rPr>
              <w:t>statistics;</w:t>
            </w:r>
            <w:proofErr w:type="gramEnd"/>
          </w:p>
          <w:p w14:paraId="51FF0D38" w14:textId="6D884BDD" w:rsidR="003F73CB" w:rsidRPr="00A47CCE" w:rsidRDefault="00174C1E" w:rsidP="0003132B">
            <w:pPr>
              <w:pStyle w:val="ListParagraph"/>
              <w:numPr>
                <w:ilvl w:val="0"/>
                <w:numId w:val="14"/>
              </w:numPr>
              <w:tabs>
                <w:tab w:val="left" w:pos="321"/>
              </w:tabs>
              <w:rPr>
                <w:rFonts w:cs="Arial"/>
                <w:szCs w:val="22"/>
              </w:rPr>
            </w:pPr>
            <w:r w:rsidRPr="00A47CCE">
              <w:rPr>
                <w:rStyle w:val="normaltextrun"/>
                <w:rFonts w:cs="Arial"/>
                <w:szCs w:val="22"/>
              </w:rPr>
              <w:t>news media reports.</w:t>
            </w:r>
          </w:p>
        </w:tc>
        <w:tc>
          <w:tcPr>
            <w:tcW w:w="1667" w:type="pct"/>
            <w:tcBorders>
              <w:top w:val="single" w:sz="4" w:space="0" w:color="auto"/>
              <w:left w:val="single" w:sz="4" w:space="0" w:color="auto"/>
              <w:bottom w:val="single" w:sz="4" w:space="0" w:color="auto"/>
              <w:right w:val="single" w:sz="4" w:space="0" w:color="auto"/>
            </w:tcBorders>
          </w:tcPr>
          <w:p w14:paraId="0CAACB98" w14:textId="77777777" w:rsidR="00174C1E" w:rsidRPr="00F25A1C" w:rsidRDefault="00174C1E" w:rsidP="00174C1E">
            <w:pPr>
              <w:rPr>
                <w:rStyle w:val="eop"/>
                <w:rFonts w:cs="Arial"/>
                <w:szCs w:val="22"/>
              </w:rPr>
            </w:pPr>
            <w:r w:rsidRPr="00F25A1C">
              <w:rPr>
                <w:rStyle w:val="normaltextrun"/>
                <w:rFonts w:cs="Arial"/>
                <w:szCs w:val="22"/>
              </w:rPr>
              <w:t>The explanation of the litigation and dispute resolution processes is fully developed by:</w:t>
            </w:r>
          </w:p>
          <w:p w14:paraId="0A23DC2F" w14:textId="77777777" w:rsidR="00A47CCE" w:rsidRPr="00A47CCE" w:rsidRDefault="00174C1E" w:rsidP="00174C1E">
            <w:pPr>
              <w:pStyle w:val="ListParagraph"/>
              <w:numPr>
                <w:ilvl w:val="0"/>
                <w:numId w:val="14"/>
              </w:numPr>
              <w:tabs>
                <w:tab w:val="left" w:pos="321"/>
              </w:tabs>
              <w:ind w:left="321" w:hanging="321"/>
              <w:rPr>
                <w:rStyle w:val="normaltextrun"/>
              </w:rPr>
            </w:pPr>
            <w:r w:rsidRPr="00F25A1C">
              <w:rPr>
                <w:rStyle w:val="normaltextrun"/>
                <w:rFonts w:cs="Arial"/>
                <w:szCs w:val="22"/>
              </w:rPr>
              <w:t xml:space="preserve">discussing a strength and weakness for each </w:t>
            </w:r>
            <w:proofErr w:type="gramStart"/>
            <w:r w:rsidRPr="00F25A1C">
              <w:rPr>
                <w:rStyle w:val="normaltextrun"/>
                <w:rFonts w:cs="Arial"/>
                <w:szCs w:val="22"/>
              </w:rPr>
              <w:t>process;</w:t>
            </w:r>
            <w:proofErr w:type="gramEnd"/>
          </w:p>
          <w:p w14:paraId="40AB1036" w14:textId="7C70B02E" w:rsidR="003F73CB" w:rsidRDefault="00174C1E" w:rsidP="00174C1E">
            <w:pPr>
              <w:pStyle w:val="ListParagraph"/>
              <w:numPr>
                <w:ilvl w:val="0"/>
                <w:numId w:val="14"/>
              </w:numPr>
              <w:tabs>
                <w:tab w:val="left" w:pos="321"/>
              </w:tabs>
              <w:ind w:left="321" w:hanging="321"/>
            </w:pPr>
            <w:r w:rsidRPr="00A47CCE">
              <w:rPr>
                <w:rStyle w:val="normaltextrun"/>
                <w:rFonts w:cs="Arial"/>
                <w:szCs w:val="22"/>
              </w:rPr>
              <w:t>including relevant supporting detail such as formal reports, specific cases, and statistics.</w:t>
            </w:r>
          </w:p>
        </w:tc>
      </w:tr>
    </w:tbl>
    <w:p w14:paraId="0B7D7B43" w14:textId="77777777" w:rsidR="003F73CB" w:rsidRPr="00C752B0" w:rsidRDefault="003F73CB" w:rsidP="00DD30BE"/>
    <w:tbl>
      <w:tblPr>
        <w:tblW w:w="14449" w:type="dxa"/>
        <w:tblBorders>
          <w:top w:val="single" w:sz="8" w:space="0" w:color="DADADA"/>
          <w:left w:val="single" w:sz="8" w:space="0" w:color="DADADA"/>
          <w:bottom w:val="single" w:sz="8" w:space="0" w:color="DADADA"/>
          <w:right w:val="single" w:sz="8" w:space="0" w:color="DADADA"/>
          <w:insideH w:val="single" w:sz="8" w:space="0" w:color="DADADA"/>
          <w:insideV w:val="single" w:sz="8" w:space="0" w:color="DADADA"/>
        </w:tblBorders>
        <w:tblCellMar>
          <w:left w:w="0" w:type="dxa"/>
          <w:right w:w="0" w:type="dxa"/>
        </w:tblCellMar>
        <w:tblLook w:val="01E0" w:firstRow="1" w:lastRow="1" w:firstColumn="1" w:lastColumn="1" w:noHBand="0" w:noVBand="0"/>
      </w:tblPr>
      <w:tblGrid>
        <w:gridCol w:w="1170"/>
        <w:gridCol w:w="5199"/>
        <w:gridCol w:w="4254"/>
        <w:gridCol w:w="3826"/>
      </w:tblGrid>
      <w:tr w:rsidR="00A47CCE" w:rsidRPr="00361159" w14:paraId="623108AD" w14:textId="77777777" w:rsidTr="00793044">
        <w:trPr>
          <w:trHeight w:val="548"/>
          <w:tblHeader/>
        </w:trPr>
        <w:tc>
          <w:tcPr>
            <w:tcW w:w="1170" w:type="dxa"/>
            <w:shd w:val="clear" w:color="auto" w:fill="F2F2F2" w:themeFill="background1" w:themeFillShade="F2"/>
          </w:tcPr>
          <w:p w14:paraId="55EE8A2D" w14:textId="77777777" w:rsidR="00A47CCE" w:rsidRPr="00A47CCE" w:rsidRDefault="00A47CCE" w:rsidP="005B14F1">
            <w:pPr>
              <w:jc w:val="center"/>
              <w:rPr>
                <w:rFonts w:ascii="Mulish" w:eastAsia="Arial" w:hAnsi="Mulish"/>
                <w:b/>
                <w:bCs/>
              </w:rPr>
            </w:pPr>
            <w:r w:rsidRPr="00A47CCE">
              <w:rPr>
                <w:rFonts w:ascii="Mulish" w:eastAsia="Arial" w:hAnsi="Mulish"/>
                <w:b/>
                <w:bCs/>
              </w:rPr>
              <w:t>Task</w:t>
            </w:r>
          </w:p>
        </w:tc>
        <w:tc>
          <w:tcPr>
            <w:tcW w:w="5199" w:type="dxa"/>
            <w:shd w:val="clear" w:color="auto" w:fill="F2F2F2" w:themeFill="background1" w:themeFillShade="F2"/>
          </w:tcPr>
          <w:p w14:paraId="3B37BDEF" w14:textId="4B59BD59" w:rsidR="00A47CCE" w:rsidRPr="00A47CCE" w:rsidRDefault="00A47CCE" w:rsidP="005B14F1">
            <w:pPr>
              <w:jc w:val="center"/>
              <w:rPr>
                <w:rFonts w:ascii="Mulish" w:eastAsia="Arial" w:hAnsi="Mulish"/>
                <w:b/>
                <w:bCs/>
              </w:rPr>
            </w:pPr>
            <w:r>
              <w:rPr>
                <w:rFonts w:ascii="Mulish" w:eastAsia="Arial" w:hAnsi="Mulish"/>
                <w:b/>
                <w:bCs/>
              </w:rPr>
              <w:t>A</w:t>
            </w:r>
            <w:r w:rsidRPr="00A47CCE">
              <w:rPr>
                <w:rFonts w:ascii="Mulish" w:eastAsia="Arial" w:hAnsi="Mulish"/>
                <w:b/>
                <w:bCs/>
              </w:rPr>
              <w:t>chievement</w:t>
            </w:r>
          </w:p>
        </w:tc>
        <w:tc>
          <w:tcPr>
            <w:tcW w:w="4254" w:type="dxa"/>
            <w:shd w:val="clear" w:color="auto" w:fill="F2F2F2" w:themeFill="background1" w:themeFillShade="F2"/>
          </w:tcPr>
          <w:p w14:paraId="647E4EA4" w14:textId="4D508BE6" w:rsidR="00A47CCE" w:rsidRPr="00A47CCE" w:rsidRDefault="00110A8C" w:rsidP="005B14F1">
            <w:pPr>
              <w:jc w:val="center"/>
              <w:rPr>
                <w:rFonts w:ascii="Mulish" w:eastAsia="Arial" w:hAnsi="Mulish"/>
                <w:b/>
                <w:bCs/>
              </w:rPr>
            </w:pPr>
            <w:r>
              <w:rPr>
                <w:rFonts w:ascii="Mulish" w:eastAsia="Arial" w:hAnsi="Mulish"/>
                <w:b/>
                <w:bCs/>
              </w:rPr>
              <w:t>A</w:t>
            </w:r>
            <w:r w:rsidR="00A47CCE" w:rsidRPr="00A47CCE">
              <w:rPr>
                <w:rFonts w:ascii="Mulish" w:eastAsia="Arial" w:hAnsi="Mulish"/>
                <w:b/>
                <w:bCs/>
              </w:rPr>
              <w:t xml:space="preserve">chievement with </w:t>
            </w:r>
            <w:r w:rsidR="00A47CCE">
              <w:rPr>
                <w:rFonts w:ascii="Mulish" w:eastAsia="Arial" w:hAnsi="Mulish"/>
                <w:b/>
                <w:bCs/>
              </w:rPr>
              <w:t>M</w:t>
            </w:r>
            <w:r w:rsidR="00A47CCE" w:rsidRPr="00A47CCE">
              <w:rPr>
                <w:rFonts w:ascii="Mulish" w:eastAsia="Arial" w:hAnsi="Mulish"/>
                <w:b/>
                <w:bCs/>
              </w:rPr>
              <w:t>erit</w:t>
            </w:r>
          </w:p>
        </w:tc>
        <w:tc>
          <w:tcPr>
            <w:tcW w:w="3826" w:type="dxa"/>
            <w:shd w:val="clear" w:color="auto" w:fill="F2F2F2" w:themeFill="background1" w:themeFillShade="F2"/>
          </w:tcPr>
          <w:p w14:paraId="5C9BDB18" w14:textId="2900AADB" w:rsidR="00A47CCE" w:rsidRPr="00A47CCE" w:rsidRDefault="00A47CCE" w:rsidP="005B14F1">
            <w:pPr>
              <w:jc w:val="center"/>
              <w:rPr>
                <w:rFonts w:ascii="Mulish" w:eastAsia="Arial" w:hAnsi="Mulish"/>
                <w:b/>
                <w:bCs/>
              </w:rPr>
            </w:pPr>
            <w:r w:rsidRPr="00A47CCE">
              <w:rPr>
                <w:rFonts w:ascii="Mulish" w:eastAsia="Arial" w:hAnsi="Mulish"/>
                <w:b/>
                <w:bCs/>
              </w:rPr>
              <w:t xml:space="preserve"> </w:t>
            </w:r>
            <w:r w:rsidR="00110A8C">
              <w:rPr>
                <w:rFonts w:ascii="Mulish" w:eastAsia="Arial" w:hAnsi="Mulish"/>
                <w:b/>
                <w:bCs/>
              </w:rPr>
              <w:t>A</w:t>
            </w:r>
            <w:r w:rsidRPr="00A47CCE">
              <w:rPr>
                <w:rFonts w:ascii="Mulish" w:eastAsia="Arial" w:hAnsi="Mulish"/>
                <w:b/>
                <w:bCs/>
              </w:rPr>
              <w:t xml:space="preserve">chievement with </w:t>
            </w:r>
            <w:r>
              <w:rPr>
                <w:rFonts w:ascii="Mulish" w:eastAsia="Arial" w:hAnsi="Mulish"/>
                <w:b/>
                <w:bCs/>
              </w:rPr>
              <w:t>E</w:t>
            </w:r>
            <w:r w:rsidRPr="00A47CCE">
              <w:rPr>
                <w:rFonts w:ascii="Mulish" w:eastAsia="Arial" w:hAnsi="Mulish"/>
                <w:b/>
                <w:bCs/>
              </w:rPr>
              <w:t>xcellence</w:t>
            </w:r>
          </w:p>
        </w:tc>
      </w:tr>
      <w:tr w:rsidR="00A47CCE" w:rsidRPr="00361159" w14:paraId="2EFA524F" w14:textId="77777777" w:rsidTr="00722C48">
        <w:trPr>
          <w:trHeight w:val="414"/>
        </w:trPr>
        <w:tc>
          <w:tcPr>
            <w:tcW w:w="1170" w:type="dxa"/>
          </w:tcPr>
          <w:p w14:paraId="0E26B057" w14:textId="77777777" w:rsidR="00A47CCE" w:rsidRPr="00A47CCE" w:rsidRDefault="00A47CCE" w:rsidP="00A47CCE">
            <w:pPr>
              <w:jc w:val="center"/>
              <w:rPr>
                <w:rFonts w:eastAsia="Inter" w:cs="Inter"/>
                <w:b/>
                <w:bCs/>
              </w:rPr>
            </w:pPr>
            <w:r w:rsidRPr="00A47CCE">
              <w:rPr>
                <w:rFonts w:eastAsia="Inter" w:cs="Inter"/>
                <w:b/>
                <w:bCs/>
              </w:rPr>
              <w:t>One</w:t>
            </w:r>
          </w:p>
          <w:p w14:paraId="7D47A4C3" w14:textId="77777777" w:rsidR="00A47CCE" w:rsidRPr="00A47CCE" w:rsidRDefault="00A47CCE" w:rsidP="00A47CCE">
            <w:pPr>
              <w:jc w:val="center"/>
              <w:rPr>
                <w:rFonts w:eastAsia="Inter" w:cs="Inter"/>
                <w:b/>
                <w:bCs/>
              </w:rPr>
            </w:pPr>
            <w:r w:rsidRPr="00A47CCE">
              <w:rPr>
                <w:rFonts w:eastAsia="Inter" w:cs="Inter"/>
                <w:b/>
                <w:bCs/>
              </w:rPr>
              <w:t>Outcome 1</w:t>
            </w:r>
          </w:p>
          <w:p w14:paraId="4088BEA8" w14:textId="77777777" w:rsidR="00A47CCE" w:rsidRPr="00361159" w:rsidRDefault="00A47CCE" w:rsidP="00A47CCE">
            <w:pPr>
              <w:jc w:val="center"/>
              <w:rPr>
                <w:rFonts w:eastAsia="Inter" w:cs="Inter"/>
                <w:kern w:val="0"/>
                <w14:ligatures w14:val="none"/>
              </w:rPr>
            </w:pPr>
            <w:r w:rsidRPr="00A47CCE">
              <w:rPr>
                <w:rFonts w:eastAsia="Inter" w:cs="Inter"/>
                <w:b/>
                <w:bCs/>
              </w:rPr>
              <w:t>PC 1.1</w:t>
            </w:r>
          </w:p>
        </w:tc>
        <w:tc>
          <w:tcPr>
            <w:tcW w:w="5199" w:type="dxa"/>
          </w:tcPr>
          <w:p w14:paraId="59070992" w14:textId="77777777" w:rsidR="00A47CCE" w:rsidRPr="00A47CCE" w:rsidRDefault="00A47CCE" w:rsidP="00A47CCE">
            <w:pPr>
              <w:pStyle w:val="TableParagraph"/>
              <w:spacing w:before="2"/>
              <w:ind w:left="167" w:right="511"/>
              <w:rPr>
                <w:rFonts w:ascii="Inter" w:eastAsia="Inter" w:hAnsi="Inter" w:cs="Inter"/>
                <w:b/>
                <w:bCs/>
              </w:rPr>
            </w:pPr>
            <w:r w:rsidRPr="00A47CCE">
              <w:rPr>
                <w:rFonts w:ascii="Inter" w:eastAsia="Inter" w:hAnsi="Inter" w:cs="Inter"/>
                <w:b/>
                <w:bCs/>
              </w:rPr>
              <w:t>Indictable criminal court processes</w:t>
            </w:r>
          </w:p>
          <w:p w14:paraId="7E071E5F" w14:textId="77777777" w:rsidR="00A47CCE" w:rsidRPr="00A47CCE" w:rsidRDefault="00A47CCE" w:rsidP="00A47CCE">
            <w:pPr>
              <w:pStyle w:val="TableParagraph"/>
              <w:spacing w:before="2"/>
              <w:ind w:left="167" w:right="511"/>
              <w:rPr>
                <w:rFonts w:ascii="Inter" w:eastAsia="Inter" w:hAnsi="Inter" w:cs="Inter"/>
              </w:rPr>
            </w:pPr>
            <w:r w:rsidRPr="00A47CCE">
              <w:rPr>
                <w:rFonts w:ascii="Inter" w:eastAsia="Inter" w:hAnsi="Inter" w:cs="Inter"/>
              </w:rPr>
              <w:t>A part answer may read:</w:t>
            </w:r>
          </w:p>
          <w:p w14:paraId="722517C6" w14:textId="77777777" w:rsidR="00A47CCE" w:rsidRPr="00361159" w:rsidRDefault="00A47CCE" w:rsidP="00722C48">
            <w:pPr>
              <w:ind w:left="167"/>
              <w:rPr>
                <w:rFonts w:eastAsia="Inter" w:cs="Inter"/>
                <w:i/>
                <w:iCs/>
              </w:rPr>
            </w:pPr>
            <w:r w:rsidRPr="4617ADF2">
              <w:rPr>
                <w:rFonts w:eastAsia="Inter" w:cs="Inter"/>
                <w:i/>
                <w:iCs/>
                <w:u w:val="single"/>
              </w:rPr>
              <w:t>Pre-trial procedures -</w:t>
            </w:r>
          </w:p>
          <w:p w14:paraId="140DEB1D" w14:textId="77777777" w:rsidR="00A47CCE" w:rsidRPr="00361159"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First appearance in District Court. May be represented by duty solicitor if</w:t>
            </w:r>
            <w:r w:rsidRPr="4617ADF2">
              <w:rPr>
                <w:rFonts w:ascii="Inter" w:eastAsia="Inter" w:hAnsi="Inter" w:cs="Inter"/>
                <w:i/>
                <w:iCs/>
                <w:spacing w:val="-20"/>
              </w:rPr>
              <w:t xml:space="preserve"> </w:t>
            </w:r>
            <w:r w:rsidRPr="4617ADF2">
              <w:rPr>
                <w:rFonts w:ascii="Inter" w:eastAsia="Inter" w:hAnsi="Inter" w:cs="Inter"/>
                <w:i/>
                <w:iCs/>
              </w:rPr>
              <w:t xml:space="preserve">doesn’t have </w:t>
            </w:r>
            <w:r w:rsidRPr="4617ADF2">
              <w:rPr>
                <w:rFonts w:ascii="Inter" w:eastAsia="Inter" w:hAnsi="Inter" w:cs="Inter"/>
                <w:i/>
                <w:iCs/>
                <w:color w:val="1C1C1C"/>
              </w:rPr>
              <w:t>own</w:t>
            </w:r>
            <w:r w:rsidRPr="4617ADF2">
              <w:rPr>
                <w:rFonts w:ascii="Inter" w:eastAsia="Inter" w:hAnsi="Inter" w:cs="Inter"/>
                <w:i/>
                <w:iCs/>
              </w:rPr>
              <w:t xml:space="preserve"> lawyer yet. Defendant’s lawyer given written copy summary of</w:t>
            </w:r>
            <w:r w:rsidRPr="4617ADF2">
              <w:rPr>
                <w:rFonts w:ascii="Inter" w:eastAsia="Inter" w:hAnsi="Inter" w:cs="Inter"/>
                <w:i/>
                <w:iCs/>
                <w:spacing w:val="-8"/>
              </w:rPr>
              <w:t xml:space="preserve"> </w:t>
            </w:r>
            <w:r w:rsidRPr="4617ADF2">
              <w:rPr>
                <w:rFonts w:ascii="Inter" w:eastAsia="Inter" w:hAnsi="Inter" w:cs="Inter"/>
                <w:i/>
                <w:iCs/>
              </w:rPr>
              <w:t>facts.</w:t>
            </w:r>
          </w:p>
          <w:p w14:paraId="75016577"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 xml:space="preserve">Either guilty or not guilty plea entered or else no plea entered which court treats same as Not Guilty plea. Normally application for bail. If </w:t>
            </w:r>
            <w:r w:rsidRPr="4617ADF2">
              <w:rPr>
                <w:rFonts w:ascii="Inter" w:eastAsia="Inter" w:hAnsi="Inter" w:cs="Inter"/>
                <w:i/>
                <w:iCs/>
                <w:color w:val="1C1C1C"/>
              </w:rPr>
              <w:t>refused</w:t>
            </w:r>
            <w:r w:rsidRPr="4617ADF2">
              <w:rPr>
                <w:rFonts w:ascii="Inter" w:eastAsia="Inter" w:hAnsi="Inter" w:cs="Inter"/>
                <w:i/>
                <w:iCs/>
              </w:rPr>
              <w:t xml:space="preserve"> bail will be held on remand in prison.</w:t>
            </w:r>
          </w:p>
          <w:p w14:paraId="519E6D55"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 xml:space="preserve">Court officials usually decide on basis of </w:t>
            </w:r>
            <w:r w:rsidRPr="4617ADF2">
              <w:rPr>
                <w:rFonts w:ascii="Inter" w:eastAsia="Inter" w:hAnsi="Inter" w:cs="Inter"/>
                <w:i/>
                <w:iCs/>
                <w:color w:val="1C1C1C"/>
              </w:rPr>
              <w:t>documents</w:t>
            </w:r>
            <w:r w:rsidRPr="4617ADF2">
              <w:rPr>
                <w:rFonts w:ascii="Inter" w:eastAsia="Inter" w:hAnsi="Inter" w:cs="Inter"/>
                <w:i/>
                <w:iCs/>
              </w:rPr>
              <w:t xml:space="preserve"> whether to commit to trial in High Court.</w:t>
            </w:r>
          </w:p>
          <w:p w14:paraId="45D52D52"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Once decided case will go to trial, pre- trial conference held discussion between judge or court registrar and prosecution &amp; defence about the case.</w:t>
            </w:r>
          </w:p>
          <w:p w14:paraId="77EC9FD7" w14:textId="77777777" w:rsidR="00A47CCE" w:rsidRDefault="00A47CCE" w:rsidP="005B14F1">
            <w:pPr>
              <w:pStyle w:val="TableParagraph"/>
              <w:spacing w:before="2"/>
              <w:ind w:left="167" w:right="511"/>
              <w:rPr>
                <w:rFonts w:ascii="Inter" w:eastAsia="Inter" w:hAnsi="Inter" w:cs="Inter"/>
              </w:rPr>
            </w:pPr>
            <w:r w:rsidRPr="4617ADF2">
              <w:rPr>
                <w:rFonts w:ascii="Inter" w:eastAsia="Inter" w:hAnsi="Inter" w:cs="Inter"/>
                <w:b/>
                <w:bCs/>
              </w:rPr>
              <w:t>Note</w:t>
            </w:r>
            <w:r w:rsidRPr="4617ADF2">
              <w:rPr>
                <w:rFonts w:ascii="Inter" w:eastAsia="Inter" w:hAnsi="Inter" w:cs="Inter"/>
              </w:rPr>
              <w:t xml:space="preserve"> - this </w:t>
            </w:r>
            <w:r w:rsidRPr="4617ADF2">
              <w:rPr>
                <w:rFonts w:ascii="Inter" w:eastAsia="Inter" w:hAnsi="Inter" w:cs="Inter"/>
                <w:i/>
                <w:iCs/>
                <w:color w:val="1C1C1C"/>
              </w:rPr>
              <w:t>sample</w:t>
            </w:r>
            <w:r w:rsidRPr="4617ADF2">
              <w:rPr>
                <w:rFonts w:ascii="Inter" w:eastAsia="Inter" w:hAnsi="Inter" w:cs="Inter"/>
              </w:rPr>
              <w:t xml:space="preserve"> answer only covers Task 1a pre-trial procedures.</w:t>
            </w:r>
          </w:p>
          <w:p w14:paraId="2878601C" w14:textId="2886160E" w:rsidR="00A47CCE" w:rsidRPr="00361159" w:rsidRDefault="00A47CCE" w:rsidP="00722C48">
            <w:pPr>
              <w:pStyle w:val="TableParagraph"/>
              <w:spacing w:before="2"/>
              <w:ind w:left="167" w:right="511"/>
              <w:rPr>
                <w:rFonts w:ascii="Inter" w:eastAsia="Inter" w:hAnsi="Inter" w:cs="Inter"/>
              </w:rPr>
            </w:pPr>
            <w:r w:rsidRPr="4617ADF2">
              <w:rPr>
                <w:rFonts w:ascii="Inter" w:eastAsia="Inter" w:hAnsi="Inter" w:cs="Inter"/>
              </w:rPr>
              <w:t xml:space="preserve">For </w:t>
            </w:r>
            <w:r w:rsidR="00416E99">
              <w:rPr>
                <w:rFonts w:ascii="Inter" w:eastAsia="Inter" w:hAnsi="Inter" w:cs="Inter"/>
              </w:rPr>
              <w:t>A</w:t>
            </w:r>
            <w:r w:rsidRPr="4617ADF2">
              <w:rPr>
                <w:rFonts w:ascii="Inter" w:eastAsia="Inter" w:hAnsi="Inter" w:cs="Inter"/>
              </w:rPr>
              <w:t xml:space="preserve">chieved the </w:t>
            </w:r>
            <w:proofErr w:type="spellStart"/>
            <w:r w:rsidR="000B5D7F">
              <w:rPr>
                <w:rFonts w:ascii="Inter" w:eastAsia="Inter" w:hAnsi="Inter" w:cs="Inter"/>
              </w:rPr>
              <w:t>ākonga</w:t>
            </w:r>
            <w:proofErr w:type="spellEnd"/>
            <w:r w:rsidR="000B5D7F">
              <w:rPr>
                <w:rFonts w:ascii="Inter" w:eastAsia="Inter" w:hAnsi="Inter" w:cs="Inter"/>
              </w:rPr>
              <w:t>/learner</w:t>
            </w:r>
            <w:r w:rsidRPr="4617ADF2">
              <w:rPr>
                <w:rFonts w:ascii="Inter" w:eastAsia="Inter" w:hAnsi="Inter" w:cs="Inter"/>
              </w:rPr>
              <w:t xml:space="preserve"> would also need to cover: the trial, including participants, procedures and outcome; sentencing. They would </w:t>
            </w:r>
            <w:r w:rsidRPr="4617ADF2">
              <w:rPr>
                <w:rFonts w:ascii="Inter" w:eastAsia="Inter" w:hAnsi="Inter" w:cs="Inter"/>
                <w:i/>
                <w:iCs/>
                <w:color w:val="1C1C1C"/>
              </w:rPr>
              <w:t>also</w:t>
            </w:r>
            <w:r w:rsidRPr="4617ADF2">
              <w:rPr>
                <w:rFonts w:ascii="Inter" w:eastAsia="Inter" w:hAnsi="Inter" w:cs="Inter"/>
              </w:rPr>
              <w:t xml:space="preserve"> need to cover the principles of burden and</w:t>
            </w:r>
            <w:r w:rsidR="00722C48">
              <w:rPr>
                <w:rFonts w:ascii="Inter" w:eastAsia="Inter" w:hAnsi="Inter" w:cs="Inter"/>
              </w:rPr>
              <w:t xml:space="preserve"> </w:t>
            </w:r>
            <w:r w:rsidRPr="4617ADF2">
              <w:rPr>
                <w:rFonts w:ascii="Inter" w:eastAsia="Inter" w:hAnsi="Inter" w:cs="Inter"/>
              </w:rPr>
              <w:t xml:space="preserve">standard of </w:t>
            </w:r>
            <w:r w:rsidRPr="4617ADF2">
              <w:rPr>
                <w:rFonts w:ascii="Inter" w:eastAsia="Inter" w:hAnsi="Inter" w:cs="Inter"/>
              </w:rPr>
              <w:lastRenderedPageBreak/>
              <w:t xml:space="preserve">proof and identify a strength and weakness of the </w:t>
            </w:r>
            <w:r w:rsidRPr="4617ADF2">
              <w:rPr>
                <w:rFonts w:ascii="Inter" w:eastAsia="Inter" w:hAnsi="Inter" w:cs="Inter"/>
                <w:i/>
                <w:iCs/>
                <w:color w:val="1C1C1C"/>
              </w:rPr>
              <w:t>criminal</w:t>
            </w:r>
            <w:r w:rsidRPr="4617ADF2">
              <w:rPr>
                <w:rFonts w:ascii="Inter" w:eastAsia="Inter" w:hAnsi="Inter" w:cs="Inter"/>
              </w:rPr>
              <w:t xml:space="preserve"> process.</w:t>
            </w:r>
          </w:p>
        </w:tc>
        <w:tc>
          <w:tcPr>
            <w:tcW w:w="4254" w:type="dxa"/>
          </w:tcPr>
          <w:p w14:paraId="2D0BE558" w14:textId="77777777" w:rsidR="00A47CCE" w:rsidRPr="00A47CCE" w:rsidRDefault="00A47CCE" w:rsidP="00A47CCE">
            <w:pPr>
              <w:pStyle w:val="TableParagraph"/>
              <w:spacing w:before="2"/>
              <w:ind w:left="167" w:right="511"/>
              <w:rPr>
                <w:rFonts w:ascii="Inter" w:eastAsia="Inter" w:hAnsi="Inter" w:cs="Inter"/>
                <w:b/>
                <w:bCs/>
              </w:rPr>
            </w:pPr>
            <w:r w:rsidRPr="00A47CCE">
              <w:rPr>
                <w:rFonts w:ascii="Inter" w:eastAsia="Inter" w:hAnsi="Inter" w:cs="Inter"/>
                <w:b/>
                <w:bCs/>
              </w:rPr>
              <w:lastRenderedPageBreak/>
              <w:t>Indictable criminal court processes</w:t>
            </w:r>
          </w:p>
          <w:p w14:paraId="3C6A2C46" w14:textId="77777777" w:rsidR="00A47CCE" w:rsidRPr="00361159" w:rsidRDefault="00A47CCE" w:rsidP="005B14F1">
            <w:pPr>
              <w:pStyle w:val="TableParagraph"/>
              <w:spacing w:before="2"/>
              <w:ind w:left="167" w:right="511"/>
              <w:rPr>
                <w:rFonts w:ascii="Inter" w:eastAsia="Inter" w:hAnsi="Inter" w:cs="Inter"/>
              </w:rPr>
            </w:pPr>
            <w:r w:rsidRPr="4617ADF2">
              <w:rPr>
                <w:rFonts w:ascii="Inter" w:eastAsia="Inter" w:hAnsi="Inter" w:cs="Inter"/>
              </w:rPr>
              <w:t>See Task Two for sample answer for civil court processes.</w:t>
            </w:r>
          </w:p>
        </w:tc>
        <w:tc>
          <w:tcPr>
            <w:tcW w:w="3826" w:type="dxa"/>
          </w:tcPr>
          <w:p w14:paraId="503141F6" w14:textId="77777777" w:rsidR="00A47CCE" w:rsidRPr="00A47CCE" w:rsidRDefault="00A47CCE" w:rsidP="00A47CCE">
            <w:pPr>
              <w:pStyle w:val="TableParagraph"/>
              <w:spacing w:before="2"/>
              <w:ind w:left="167" w:right="511"/>
              <w:rPr>
                <w:rFonts w:ascii="Inter" w:eastAsia="Inter" w:hAnsi="Inter" w:cs="Inter"/>
                <w:b/>
                <w:bCs/>
              </w:rPr>
            </w:pPr>
            <w:r w:rsidRPr="00A47CCE">
              <w:rPr>
                <w:rFonts w:ascii="Inter" w:eastAsia="Inter" w:hAnsi="Inter" w:cs="Inter"/>
                <w:b/>
                <w:bCs/>
              </w:rPr>
              <w:t>Indictable criminal court processes</w:t>
            </w:r>
          </w:p>
          <w:p w14:paraId="0CBC4D9E" w14:textId="77777777" w:rsidR="00A47CCE" w:rsidRPr="00361159" w:rsidRDefault="00A47CCE" w:rsidP="005B14F1">
            <w:pPr>
              <w:pStyle w:val="TableParagraph"/>
              <w:spacing w:before="2"/>
              <w:ind w:left="167" w:right="511"/>
              <w:rPr>
                <w:rFonts w:ascii="Inter" w:eastAsia="Inter" w:hAnsi="Inter" w:cs="Inter"/>
              </w:rPr>
            </w:pPr>
            <w:r w:rsidRPr="4617ADF2">
              <w:rPr>
                <w:rFonts w:ascii="Inter" w:eastAsia="Inter" w:hAnsi="Inter" w:cs="Inter"/>
              </w:rPr>
              <w:t>See Task Two for sample answer for civil court processes.</w:t>
            </w:r>
          </w:p>
        </w:tc>
      </w:tr>
      <w:tr w:rsidR="00A47CCE" w:rsidRPr="00361159" w14:paraId="6FF186D6" w14:textId="77777777" w:rsidTr="00416E99">
        <w:trPr>
          <w:trHeight w:val="6226"/>
        </w:trPr>
        <w:tc>
          <w:tcPr>
            <w:tcW w:w="1170" w:type="dxa"/>
          </w:tcPr>
          <w:p w14:paraId="5434651C" w14:textId="77777777" w:rsidR="00A47CCE" w:rsidRPr="00C6547A" w:rsidRDefault="00A47CCE" w:rsidP="005B14F1">
            <w:pPr>
              <w:jc w:val="center"/>
              <w:rPr>
                <w:rFonts w:eastAsia="Inter" w:cs="Inter"/>
                <w:b/>
                <w:bCs/>
              </w:rPr>
            </w:pPr>
            <w:r w:rsidRPr="4617ADF2">
              <w:rPr>
                <w:rFonts w:eastAsia="Inter" w:cs="Inter"/>
                <w:b/>
                <w:bCs/>
              </w:rPr>
              <w:t>Two</w:t>
            </w:r>
          </w:p>
          <w:p w14:paraId="7917B6CA" w14:textId="77777777" w:rsidR="00A47CCE" w:rsidRPr="00C6547A" w:rsidRDefault="00A47CCE" w:rsidP="005B14F1">
            <w:pPr>
              <w:jc w:val="center"/>
              <w:rPr>
                <w:rFonts w:eastAsia="Inter" w:cs="Inter"/>
                <w:b/>
                <w:bCs/>
              </w:rPr>
            </w:pPr>
            <w:r w:rsidRPr="4617ADF2">
              <w:rPr>
                <w:rFonts w:eastAsia="Inter" w:cs="Inter"/>
                <w:b/>
                <w:bCs/>
              </w:rPr>
              <w:t>Outcome 1</w:t>
            </w:r>
          </w:p>
          <w:p w14:paraId="1DCC5880" w14:textId="77777777" w:rsidR="00A47CCE" w:rsidRPr="00361159" w:rsidRDefault="00A47CCE" w:rsidP="005B14F1">
            <w:pPr>
              <w:jc w:val="center"/>
              <w:rPr>
                <w:rFonts w:eastAsia="Inter" w:cs="Inter"/>
                <w:b/>
                <w:bCs/>
              </w:rPr>
            </w:pPr>
            <w:r w:rsidRPr="4617ADF2">
              <w:rPr>
                <w:rFonts w:eastAsia="Inter" w:cs="Inter"/>
                <w:b/>
                <w:bCs/>
              </w:rPr>
              <w:t>PC 1</w:t>
            </w:r>
            <w:r w:rsidRPr="4617ADF2">
              <w:rPr>
                <w:rFonts w:eastAsia="Inter" w:cs="Inter"/>
              </w:rPr>
              <w:t>.</w:t>
            </w:r>
            <w:r w:rsidRPr="00A47CCE">
              <w:rPr>
                <w:rFonts w:eastAsia="Inter" w:cs="Inter"/>
                <w:b/>
                <w:bCs/>
              </w:rPr>
              <w:t>1</w:t>
            </w:r>
          </w:p>
        </w:tc>
        <w:tc>
          <w:tcPr>
            <w:tcW w:w="5199" w:type="dxa"/>
          </w:tcPr>
          <w:p w14:paraId="436BD661" w14:textId="77777777" w:rsidR="00A47CCE" w:rsidRPr="00361159" w:rsidRDefault="00A47CCE" w:rsidP="005B14F1">
            <w:pPr>
              <w:rPr>
                <w:rFonts w:eastAsia="Inter" w:cs="Inter"/>
                <w:b/>
                <w:bCs/>
              </w:rPr>
            </w:pPr>
          </w:p>
        </w:tc>
        <w:tc>
          <w:tcPr>
            <w:tcW w:w="4254" w:type="dxa"/>
          </w:tcPr>
          <w:p w14:paraId="1B0C23B4" w14:textId="77777777" w:rsidR="00A47CCE" w:rsidRDefault="00A47CCE" w:rsidP="005B14F1">
            <w:pPr>
              <w:pStyle w:val="TableParagraph"/>
              <w:spacing w:before="2"/>
              <w:ind w:left="167" w:right="511"/>
              <w:rPr>
                <w:rFonts w:ascii="Inter" w:eastAsia="Inter" w:hAnsi="Inter" w:cs="Inter"/>
                <w:b/>
                <w:bCs/>
              </w:rPr>
            </w:pPr>
            <w:r w:rsidRPr="4617ADF2">
              <w:rPr>
                <w:rFonts w:ascii="Inter" w:eastAsia="Inter" w:hAnsi="Inter" w:cs="Inter"/>
                <w:b/>
                <w:bCs/>
              </w:rPr>
              <w:t>Civil court processes</w:t>
            </w:r>
          </w:p>
          <w:p w14:paraId="3BC26969" w14:textId="77777777" w:rsidR="00A47CCE" w:rsidRDefault="00A47CCE" w:rsidP="005B14F1">
            <w:pPr>
              <w:pStyle w:val="TableParagraph"/>
              <w:spacing w:before="2"/>
              <w:ind w:left="167" w:right="511"/>
              <w:rPr>
                <w:rFonts w:ascii="Inter" w:eastAsia="Inter" w:hAnsi="Inter" w:cs="Inter"/>
              </w:rPr>
            </w:pPr>
            <w:r w:rsidRPr="4617ADF2">
              <w:rPr>
                <w:rFonts w:ascii="Inter" w:eastAsia="Inter" w:hAnsi="Inter" w:cs="Inter"/>
              </w:rPr>
              <w:t xml:space="preserve">A </w:t>
            </w:r>
            <w:r w:rsidRPr="4617ADF2">
              <w:rPr>
                <w:rFonts w:ascii="Inter" w:eastAsia="Inter" w:hAnsi="Inter" w:cs="Inter"/>
                <w:b/>
                <w:bCs/>
              </w:rPr>
              <w:t>part</w:t>
            </w:r>
            <w:r w:rsidRPr="4617ADF2">
              <w:rPr>
                <w:rFonts w:ascii="Inter" w:eastAsia="Inter" w:hAnsi="Inter" w:cs="Inter"/>
              </w:rPr>
              <w:t xml:space="preserve"> </w:t>
            </w:r>
            <w:r w:rsidRPr="4617ADF2">
              <w:rPr>
                <w:rFonts w:ascii="Inter" w:eastAsia="Inter" w:hAnsi="Inter" w:cs="Inter"/>
                <w:i/>
                <w:iCs/>
                <w:color w:val="1C1C1C"/>
              </w:rPr>
              <w:t>answer</w:t>
            </w:r>
            <w:r w:rsidRPr="4617ADF2">
              <w:rPr>
                <w:rFonts w:ascii="Inter" w:eastAsia="Inter" w:hAnsi="Inter" w:cs="Inter"/>
              </w:rPr>
              <w:t xml:space="preserve"> may read:</w:t>
            </w:r>
          </w:p>
          <w:p w14:paraId="2C52C3C0"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One weakness is the expense of civil court action. Legal aid is available for some civil actions, but there are very low-income limits: single applicant may earn no more than $22,366 per year.</w:t>
            </w:r>
          </w:p>
          <w:p w14:paraId="7E2C7816"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 xml:space="preserve">Court fees themselves are not cheap. Just filing the necessary documents will cost hundreds, if it goes to full hearing it will cost thousands. Lawyers’ fees will be hundreds of dollars per hour. If you are suing someone, even if you win, and are awarded costs, may not get anywhere near what you hoped. If you lose, you will probably have costs awarded </w:t>
            </w:r>
            <w:r w:rsidRPr="4617ADF2">
              <w:rPr>
                <w:rFonts w:ascii="Inter" w:eastAsia="Inter" w:hAnsi="Inter" w:cs="Inter"/>
                <w:i/>
                <w:iCs/>
                <w:color w:val="1C1C1C"/>
              </w:rPr>
              <w:t>against</w:t>
            </w:r>
            <w:r w:rsidRPr="4617ADF2">
              <w:rPr>
                <w:rFonts w:ascii="Inter" w:eastAsia="Inter" w:hAnsi="Inter" w:cs="Inter"/>
                <w:i/>
                <w:iCs/>
              </w:rPr>
              <w:t xml:space="preserve"> you.</w:t>
            </w:r>
          </w:p>
          <w:p w14:paraId="0B07CDF2"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 xml:space="preserve">Disputes Tribunal is a cheap alternative, but the </w:t>
            </w:r>
            <w:r w:rsidRPr="4617ADF2">
              <w:rPr>
                <w:rFonts w:ascii="Inter" w:eastAsia="Inter" w:hAnsi="Inter" w:cs="Inter"/>
                <w:i/>
                <w:iCs/>
                <w:color w:val="1C1C1C"/>
              </w:rPr>
              <w:t>maximum</w:t>
            </w:r>
            <w:r w:rsidRPr="4617ADF2">
              <w:rPr>
                <w:rFonts w:ascii="Inter" w:eastAsia="Inter" w:hAnsi="Inter" w:cs="Inter"/>
                <w:i/>
                <w:iCs/>
              </w:rPr>
              <w:t xml:space="preserve"> claim is $20,000.</w:t>
            </w:r>
          </w:p>
          <w:p w14:paraId="45746A65"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 xml:space="preserve">A good example is the 1986 case where </w:t>
            </w:r>
            <w:r w:rsidRPr="4617ADF2">
              <w:rPr>
                <w:rFonts w:ascii="Inter" w:eastAsia="Inter" w:hAnsi="Inter" w:cs="Inter"/>
                <w:i/>
                <w:iCs/>
                <w:color w:val="1C1C1C"/>
              </w:rPr>
              <w:t xml:space="preserve">Palmerston North restaurateur Henry Harrod was </w:t>
            </w:r>
            <w:r w:rsidRPr="4617ADF2">
              <w:rPr>
                <w:rFonts w:ascii="Inter" w:eastAsia="Inter" w:hAnsi="Inter" w:cs="Inter"/>
                <w:i/>
                <w:iCs/>
                <w:color w:val="1C1C1C"/>
              </w:rPr>
              <w:lastRenderedPageBreak/>
              <w:t>forced to change the name of his restaurant due to an injunction by the owner of Harrods department store in London.</w:t>
            </w:r>
          </w:p>
          <w:p w14:paraId="1E228859" w14:textId="778A9AF4" w:rsidR="00A47CCE" w:rsidRPr="00361159" w:rsidRDefault="00A47CCE" w:rsidP="005B14F1">
            <w:pPr>
              <w:pStyle w:val="TableParagraph"/>
              <w:spacing w:before="2"/>
              <w:ind w:left="167" w:right="511"/>
              <w:rPr>
                <w:rFonts w:ascii="Inter" w:eastAsia="Inter" w:hAnsi="Inter" w:cs="Inter"/>
              </w:rPr>
            </w:pPr>
            <w:r w:rsidRPr="4617ADF2">
              <w:rPr>
                <w:rFonts w:ascii="Inter" w:eastAsia="Inter" w:hAnsi="Inter" w:cs="Inter"/>
                <w:b/>
                <w:bCs/>
              </w:rPr>
              <w:t>Note</w:t>
            </w:r>
            <w:r w:rsidRPr="4617ADF2">
              <w:rPr>
                <w:rFonts w:ascii="Inter" w:eastAsia="Inter" w:hAnsi="Inter" w:cs="Inter"/>
              </w:rPr>
              <w:t xml:space="preserve"> - this sample answer only covers a weakness of the civil processes. For </w:t>
            </w:r>
            <w:r w:rsidR="00750B62">
              <w:rPr>
                <w:rFonts w:ascii="Inter" w:eastAsia="Inter" w:hAnsi="Inter" w:cs="Inter"/>
              </w:rPr>
              <w:t>M</w:t>
            </w:r>
            <w:r w:rsidRPr="4617ADF2">
              <w:rPr>
                <w:rFonts w:ascii="Inter" w:eastAsia="Inter" w:hAnsi="Inter" w:cs="Inter"/>
              </w:rPr>
              <w:t xml:space="preserve">erit describing strengths and weaknesses and using actual events as examples for </w:t>
            </w:r>
            <w:r w:rsidRPr="4617ADF2">
              <w:rPr>
                <w:rFonts w:ascii="Inter" w:eastAsia="Inter" w:hAnsi="Inter" w:cs="Inter"/>
                <w:b/>
                <w:bCs/>
              </w:rPr>
              <w:t>both</w:t>
            </w:r>
            <w:r w:rsidRPr="4617ADF2">
              <w:rPr>
                <w:rFonts w:ascii="Inter" w:eastAsia="Inter" w:hAnsi="Inter" w:cs="Inter"/>
              </w:rPr>
              <w:t xml:space="preserve"> civil and criminal processes is required.</w:t>
            </w:r>
          </w:p>
        </w:tc>
        <w:tc>
          <w:tcPr>
            <w:tcW w:w="3826" w:type="dxa"/>
          </w:tcPr>
          <w:p w14:paraId="2DD58823" w14:textId="77777777" w:rsidR="00A47CCE" w:rsidRDefault="00A47CCE" w:rsidP="005B14F1">
            <w:pPr>
              <w:pStyle w:val="TableParagraph"/>
              <w:spacing w:before="2"/>
              <w:ind w:left="167" w:right="511"/>
              <w:rPr>
                <w:rFonts w:ascii="Inter" w:eastAsia="Inter" w:hAnsi="Inter" w:cs="Inter"/>
                <w:b/>
                <w:bCs/>
              </w:rPr>
            </w:pPr>
            <w:r w:rsidRPr="4617ADF2">
              <w:rPr>
                <w:rFonts w:ascii="Inter" w:eastAsia="Inter" w:hAnsi="Inter" w:cs="Inter"/>
                <w:b/>
                <w:bCs/>
              </w:rPr>
              <w:lastRenderedPageBreak/>
              <w:t xml:space="preserve">Civil </w:t>
            </w:r>
            <w:r w:rsidRPr="00416E99">
              <w:rPr>
                <w:rFonts w:ascii="Inter" w:eastAsia="Inter" w:hAnsi="Inter" w:cs="Inter"/>
                <w:b/>
                <w:bCs/>
                <w:color w:val="1C1C1C"/>
              </w:rPr>
              <w:t>court</w:t>
            </w:r>
            <w:r w:rsidRPr="4617ADF2">
              <w:rPr>
                <w:rFonts w:ascii="Inter" w:eastAsia="Inter" w:hAnsi="Inter" w:cs="Inter"/>
                <w:b/>
                <w:bCs/>
              </w:rPr>
              <w:t xml:space="preserve"> processes</w:t>
            </w:r>
          </w:p>
          <w:p w14:paraId="73D47D54" w14:textId="77777777" w:rsidR="00A47CCE" w:rsidRDefault="00A47CCE" w:rsidP="005B14F1">
            <w:pPr>
              <w:pStyle w:val="TableParagraph"/>
              <w:spacing w:before="2"/>
              <w:ind w:left="167" w:right="511"/>
              <w:rPr>
                <w:rFonts w:ascii="Inter" w:eastAsia="Inter" w:hAnsi="Inter" w:cs="Inter"/>
              </w:rPr>
            </w:pPr>
            <w:r w:rsidRPr="4617ADF2">
              <w:rPr>
                <w:rFonts w:ascii="Inter" w:eastAsia="Inter" w:hAnsi="Inter" w:cs="Inter"/>
              </w:rPr>
              <w:t xml:space="preserve">A </w:t>
            </w:r>
            <w:r w:rsidRPr="4617ADF2">
              <w:rPr>
                <w:rFonts w:ascii="Inter" w:eastAsia="Inter" w:hAnsi="Inter" w:cs="Inter"/>
                <w:b/>
                <w:bCs/>
              </w:rPr>
              <w:t>part</w:t>
            </w:r>
            <w:r w:rsidRPr="4617ADF2">
              <w:rPr>
                <w:rFonts w:ascii="Inter" w:eastAsia="Inter" w:hAnsi="Inter" w:cs="Inter"/>
              </w:rPr>
              <w:t xml:space="preserve"> </w:t>
            </w:r>
            <w:r w:rsidRPr="4617ADF2">
              <w:rPr>
                <w:rFonts w:ascii="Inter" w:eastAsia="Inter" w:hAnsi="Inter" w:cs="Inter"/>
                <w:i/>
                <w:iCs/>
                <w:color w:val="1C1C1C"/>
              </w:rPr>
              <w:t>answer</w:t>
            </w:r>
            <w:r w:rsidRPr="4617ADF2">
              <w:rPr>
                <w:rFonts w:ascii="Inter" w:eastAsia="Inter" w:hAnsi="Inter" w:cs="Inter"/>
              </w:rPr>
              <w:t xml:space="preserve"> may read:</w:t>
            </w:r>
          </w:p>
          <w:p w14:paraId="39D8FED2"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 xml:space="preserve">One weakness is the expense of civil court action. Going to court, or being </w:t>
            </w:r>
            <w:r w:rsidRPr="4617ADF2">
              <w:rPr>
                <w:rFonts w:ascii="Inter" w:eastAsia="Inter" w:hAnsi="Inter" w:cs="Inter"/>
                <w:i/>
                <w:iCs/>
                <w:color w:val="1C1C1C"/>
              </w:rPr>
              <w:t>taken</w:t>
            </w:r>
            <w:r w:rsidRPr="4617ADF2">
              <w:rPr>
                <w:rFonts w:ascii="Inter" w:eastAsia="Inter" w:hAnsi="Inter" w:cs="Inter"/>
                <w:i/>
                <w:iCs/>
              </w:rPr>
              <w:t xml:space="preserve"> to court, is a risky business, and because of costs involved is increasingly becoming the province of the rich. We have cases where a small business threatened with legal action by a wealthy opponent, e.g. a multinational company, will cave in and not fight, even if would have a reasonable chance of success.</w:t>
            </w:r>
          </w:p>
          <w:p w14:paraId="54B48924"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t xml:space="preserve">To a multinational company, the cost of court and legal fees </w:t>
            </w:r>
            <w:proofErr w:type="gramStart"/>
            <w:r w:rsidRPr="4617ADF2">
              <w:rPr>
                <w:rFonts w:ascii="Inter" w:eastAsia="Inter" w:hAnsi="Inter" w:cs="Inter"/>
                <w:i/>
                <w:iCs/>
              </w:rPr>
              <w:t>is able to</w:t>
            </w:r>
            <w:proofErr w:type="gramEnd"/>
            <w:r w:rsidRPr="4617ADF2">
              <w:rPr>
                <w:rFonts w:ascii="Inter" w:eastAsia="Inter" w:hAnsi="Inter" w:cs="Inter"/>
                <w:i/>
                <w:iCs/>
              </w:rPr>
              <w:t xml:space="preserve"> be absorbed, whereas to a small business, it could easily bankrupt them. Therefore, large corporations have a significant advantage. This could be considered a serious </w:t>
            </w:r>
            <w:r w:rsidRPr="4617ADF2">
              <w:rPr>
                <w:rFonts w:ascii="Inter" w:eastAsia="Inter" w:hAnsi="Inter" w:cs="Inter"/>
                <w:i/>
                <w:iCs/>
                <w:color w:val="1C1C1C"/>
              </w:rPr>
              <w:t>problem</w:t>
            </w:r>
            <w:r w:rsidRPr="4617ADF2">
              <w:rPr>
                <w:rFonts w:ascii="Inter" w:eastAsia="Inter" w:hAnsi="Inter" w:cs="Inter"/>
                <w:i/>
                <w:iCs/>
              </w:rPr>
              <w:t>, because justice should be available to all, irrespective of income.</w:t>
            </w:r>
          </w:p>
          <w:p w14:paraId="2CFE1587" w14:textId="77777777" w:rsidR="00A47CCE" w:rsidRDefault="00A47CCE" w:rsidP="005B14F1">
            <w:pPr>
              <w:pStyle w:val="TableParagraph"/>
              <w:spacing w:before="2"/>
              <w:ind w:left="167" w:right="511"/>
              <w:rPr>
                <w:rFonts w:ascii="Inter" w:eastAsia="Inter" w:hAnsi="Inter" w:cs="Inter"/>
                <w:i/>
                <w:iCs/>
              </w:rPr>
            </w:pPr>
            <w:r w:rsidRPr="4617ADF2">
              <w:rPr>
                <w:rFonts w:ascii="Inter" w:eastAsia="Inter" w:hAnsi="Inter" w:cs="Inter"/>
                <w:i/>
                <w:iCs/>
              </w:rPr>
              <w:lastRenderedPageBreak/>
              <w:t xml:space="preserve">A good example is the 1986 case where </w:t>
            </w:r>
            <w:r w:rsidRPr="4617ADF2">
              <w:rPr>
                <w:rFonts w:ascii="Inter" w:eastAsia="Inter" w:hAnsi="Inter" w:cs="Inter"/>
                <w:i/>
                <w:iCs/>
                <w:color w:val="1C1C1C"/>
              </w:rPr>
              <w:t>Palmerston North restaurateur Henry Harrod was forced to change the name of his restaurant, Harrod’s Family Restaurant, after being threatened with a lawsuit and served with injunction by Wellington law firm on behalf of Mohammed Al Fayed, the owner of Harrods department store in London. The name change put Mr. Harrod to considerable expense, but he could not afford to take the risk of fighting the legal action</w:t>
            </w:r>
            <w:r w:rsidRPr="4617ADF2">
              <w:rPr>
                <w:rFonts w:ascii="Inter" w:eastAsia="Inter" w:hAnsi="Inter" w:cs="Inter"/>
                <w:i/>
                <w:iCs/>
              </w:rPr>
              <w:t>, as he did not have the same financial resources available as Mr. Al Fayed.</w:t>
            </w:r>
          </w:p>
          <w:p w14:paraId="702253B0" w14:textId="77777777" w:rsidR="00A47CCE" w:rsidRPr="00361159" w:rsidRDefault="00A47CCE" w:rsidP="005B14F1">
            <w:pPr>
              <w:pStyle w:val="TableParagraph"/>
              <w:spacing w:before="2"/>
              <w:ind w:left="167" w:right="511"/>
              <w:rPr>
                <w:rFonts w:ascii="Inter" w:eastAsia="Inter" w:hAnsi="Inter" w:cs="Inter"/>
              </w:rPr>
            </w:pPr>
            <w:r w:rsidRPr="4617ADF2">
              <w:rPr>
                <w:rFonts w:ascii="Inter" w:eastAsia="Inter" w:hAnsi="Inter" w:cs="Inter"/>
                <w:b/>
                <w:bCs/>
              </w:rPr>
              <w:t xml:space="preserve">Note </w:t>
            </w:r>
            <w:r w:rsidRPr="4617ADF2">
              <w:rPr>
                <w:rFonts w:ascii="Inter" w:eastAsia="Inter" w:hAnsi="Inter" w:cs="Inter"/>
              </w:rPr>
              <w:t>- this sample answer only covers a weakness of the civil processes.</w:t>
            </w:r>
          </w:p>
        </w:tc>
      </w:tr>
    </w:tbl>
    <w:p w14:paraId="7AD6EA1A" w14:textId="77777777" w:rsidR="0034462F" w:rsidRDefault="0034462F" w:rsidP="00DD30BE"/>
    <w:p w14:paraId="21DFEA46"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1"/>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88168" w14:textId="77777777" w:rsidR="00D838F1" w:rsidRDefault="00D838F1" w:rsidP="00212C53">
      <w:r>
        <w:separator/>
      </w:r>
    </w:p>
  </w:endnote>
  <w:endnote w:type="continuationSeparator" w:id="0">
    <w:p w14:paraId="7B680438" w14:textId="77777777" w:rsidR="00D838F1" w:rsidRDefault="00D838F1"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10EF0DFB"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F820AA"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DE3FF"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2A60A227" w14:textId="7139F52A" w:rsidR="00D14F3A" w:rsidRDefault="00174C1E" w:rsidP="00EE39FF">
    <w:pPr>
      <w:pStyle w:val="Footer"/>
      <w:ind w:right="360"/>
      <w:jc w:val="right"/>
    </w:pPr>
    <w:r>
      <w:t>27845</w:t>
    </w:r>
    <w:r w:rsidR="000123E2">
      <w:t xml:space="preserve"> Assessor Guidelines (Version 3) </w:t>
    </w:r>
    <w:r w:rsidR="000123E2">
      <w:tab/>
    </w:r>
    <w:r w:rsidR="00111BD6">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803A5"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00909A27" w14:textId="0D37FA15" w:rsidR="001D1125" w:rsidRPr="001D1125" w:rsidRDefault="00174C1E" w:rsidP="00EE39FF">
    <w:pPr>
      <w:pStyle w:val="Footer"/>
      <w:ind w:right="360"/>
      <w:jc w:val="right"/>
    </w:pPr>
    <w:r>
      <w:t>27845</w:t>
    </w:r>
    <w:r w:rsidR="000123E2">
      <w:t xml:space="preserve"> </w:t>
    </w:r>
    <w:r w:rsidR="000D5D7D">
      <w:t>Assessor Guidelines</w:t>
    </w:r>
    <w:r w:rsidR="008C5F06">
      <w:t xml:space="preserve"> </w:t>
    </w:r>
    <w:r w:rsidR="00A53971">
      <w:t>(Version 3)</w:t>
    </w:r>
    <w:r w:rsidR="00A53971">
      <w:tab/>
    </w:r>
    <w:r w:rsidR="00416E99">
      <w:t>December</w:t>
    </w:r>
    <w:r w:rsidR="000D5D7D" w:rsidRPr="00416E99">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D6E53" w14:textId="77777777" w:rsidR="00D838F1" w:rsidRDefault="00D838F1" w:rsidP="00212C53">
      <w:r>
        <w:separator/>
      </w:r>
    </w:p>
  </w:footnote>
  <w:footnote w:type="continuationSeparator" w:id="0">
    <w:p w14:paraId="3906F5A1" w14:textId="77777777" w:rsidR="00D838F1" w:rsidRDefault="00D838F1"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53EBE" w14:textId="77777777" w:rsidR="00160071" w:rsidRDefault="0086703C" w:rsidP="00212C53">
    <w:pPr>
      <w:pStyle w:val="Header"/>
    </w:pPr>
    <w:r>
      <w:rPr>
        <w:noProof/>
      </w:rPr>
      <w:drawing>
        <wp:anchor distT="0" distB="0" distL="114300" distR="114300" simplePos="0" relativeHeight="251675648" behindDoc="1" locked="0" layoutInCell="1" allowOverlap="1" wp14:anchorId="592805B0" wp14:editId="6F6F0920">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11BE08D0" wp14:editId="4264D487">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BFE6C"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06592527"/>
    <w:multiLevelType w:val="multilevel"/>
    <w:tmpl w:val="23DADC4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2B13CBE"/>
    <w:multiLevelType w:val="hybridMultilevel"/>
    <w:tmpl w:val="22E88E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4" w15:restartNumberingAfterBreak="0">
    <w:nsid w:val="1556407F"/>
    <w:multiLevelType w:val="hybridMultilevel"/>
    <w:tmpl w:val="247032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6"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7"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7F7025"/>
    <w:multiLevelType w:val="hybridMultilevel"/>
    <w:tmpl w:val="09428C86"/>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10"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11"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2" w15:restartNumberingAfterBreak="0">
    <w:nsid w:val="601010FA"/>
    <w:multiLevelType w:val="multilevel"/>
    <w:tmpl w:val="34FC04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4"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6"/>
  </w:num>
  <w:num w:numId="2" w16cid:durableId="1757289451">
    <w:abstractNumId w:val="5"/>
  </w:num>
  <w:num w:numId="3" w16cid:durableId="1892644055">
    <w:abstractNumId w:val="7"/>
  </w:num>
  <w:num w:numId="4" w16cid:durableId="1519078603">
    <w:abstractNumId w:val="11"/>
  </w:num>
  <w:num w:numId="5" w16cid:durableId="1277712777">
    <w:abstractNumId w:val="3"/>
  </w:num>
  <w:num w:numId="6" w16cid:durableId="1187595443">
    <w:abstractNumId w:val="13"/>
  </w:num>
  <w:num w:numId="7" w16cid:durableId="791745894">
    <w:abstractNumId w:val="10"/>
  </w:num>
  <w:num w:numId="8" w16cid:durableId="268662088">
    <w:abstractNumId w:val="0"/>
  </w:num>
  <w:num w:numId="9" w16cid:durableId="1100564826">
    <w:abstractNumId w:val="9"/>
  </w:num>
  <w:num w:numId="10" w16cid:durableId="271321859">
    <w:abstractNumId w:val="14"/>
  </w:num>
  <w:num w:numId="11" w16cid:durableId="2029326346">
    <w:abstractNumId w:val="4"/>
  </w:num>
  <w:num w:numId="12" w16cid:durableId="1097138362">
    <w:abstractNumId w:val="1"/>
  </w:num>
  <w:num w:numId="13" w16cid:durableId="2087266703">
    <w:abstractNumId w:val="12"/>
  </w:num>
  <w:num w:numId="14" w16cid:durableId="1022708598">
    <w:abstractNumId w:val="8"/>
  </w:num>
  <w:num w:numId="15" w16cid:durableId="1103234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1E"/>
    <w:rsid w:val="000033E1"/>
    <w:rsid w:val="000123E2"/>
    <w:rsid w:val="0003132B"/>
    <w:rsid w:val="0007200A"/>
    <w:rsid w:val="000A6A25"/>
    <w:rsid w:val="000B5D7F"/>
    <w:rsid w:val="000D22C4"/>
    <w:rsid w:val="000D5D7D"/>
    <w:rsid w:val="000F014C"/>
    <w:rsid w:val="000F6132"/>
    <w:rsid w:val="00110A8C"/>
    <w:rsid w:val="00111BD6"/>
    <w:rsid w:val="001303C5"/>
    <w:rsid w:val="00131918"/>
    <w:rsid w:val="00160071"/>
    <w:rsid w:val="00174C1E"/>
    <w:rsid w:val="00180B75"/>
    <w:rsid w:val="00180FFE"/>
    <w:rsid w:val="001963B2"/>
    <w:rsid w:val="001A07D9"/>
    <w:rsid w:val="001B2905"/>
    <w:rsid w:val="001B420C"/>
    <w:rsid w:val="001D1125"/>
    <w:rsid w:val="002030CB"/>
    <w:rsid w:val="00212C53"/>
    <w:rsid w:val="00226569"/>
    <w:rsid w:val="00235FFE"/>
    <w:rsid w:val="00280FD9"/>
    <w:rsid w:val="002961AC"/>
    <w:rsid w:val="002D503F"/>
    <w:rsid w:val="002D5392"/>
    <w:rsid w:val="002E51C3"/>
    <w:rsid w:val="00321E8C"/>
    <w:rsid w:val="003426DB"/>
    <w:rsid w:val="0034462F"/>
    <w:rsid w:val="003465C7"/>
    <w:rsid w:val="003554EB"/>
    <w:rsid w:val="00363FDB"/>
    <w:rsid w:val="00374299"/>
    <w:rsid w:val="003A20C7"/>
    <w:rsid w:val="003B2A4E"/>
    <w:rsid w:val="003B309B"/>
    <w:rsid w:val="003B690D"/>
    <w:rsid w:val="003E2601"/>
    <w:rsid w:val="003F2386"/>
    <w:rsid w:val="003F73CB"/>
    <w:rsid w:val="00416E99"/>
    <w:rsid w:val="00424F46"/>
    <w:rsid w:val="0043721A"/>
    <w:rsid w:val="00474691"/>
    <w:rsid w:val="004E2C64"/>
    <w:rsid w:val="004F5058"/>
    <w:rsid w:val="005015C0"/>
    <w:rsid w:val="00530F18"/>
    <w:rsid w:val="00536619"/>
    <w:rsid w:val="0056100E"/>
    <w:rsid w:val="005644CB"/>
    <w:rsid w:val="0058397A"/>
    <w:rsid w:val="005A09BF"/>
    <w:rsid w:val="005C77DB"/>
    <w:rsid w:val="005D7894"/>
    <w:rsid w:val="005F0638"/>
    <w:rsid w:val="006212B8"/>
    <w:rsid w:val="00624C3A"/>
    <w:rsid w:val="00627747"/>
    <w:rsid w:val="00644755"/>
    <w:rsid w:val="00692343"/>
    <w:rsid w:val="006A4EEE"/>
    <w:rsid w:val="006B171A"/>
    <w:rsid w:val="006C0AAD"/>
    <w:rsid w:val="006F1959"/>
    <w:rsid w:val="0071155A"/>
    <w:rsid w:val="007166A6"/>
    <w:rsid w:val="00722C48"/>
    <w:rsid w:val="0075027C"/>
    <w:rsid w:val="0075088E"/>
    <w:rsid w:val="00750B62"/>
    <w:rsid w:val="0076628A"/>
    <w:rsid w:val="00770474"/>
    <w:rsid w:val="007775D7"/>
    <w:rsid w:val="007823F7"/>
    <w:rsid w:val="00782909"/>
    <w:rsid w:val="0078373C"/>
    <w:rsid w:val="00783933"/>
    <w:rsid w:val="007844FA"/>
    <w:rsid w:val="0078728E"/>
    <w:rsid w:val="00793044"/>
    <w:rsid w:val="007D7AD0"/>
    <w:rsid w:val="007E7E7D"/>
    <w:rsid w:val="007F0A54"/>
    <w:rsid w:val="00813834"/>
    <w:rsid w:val="00816885"/>
    <w:rsid w:val="00851D3B"/>
    <w:rsid w:val="008520F9"/>
    <w:rsid w:val="0086703C"/>
    <w:rsid w:val="00873EEC"/>
    <w:rsid w:val="00885350"/>
    <w:rsid w:val="008A142C"/>
    <w:rsid w:val="008C5F06"/>
    <w:rsid w:val="00966D59"/>
    <w:rsid w:val="00977610"/>
    <w:rsid w:val="009A530F"/>
    <w:rsid w:val="009B17EE"/>
    <w:rsid w:val="009C103E"/>
    <w:rsid w:val="009D4F75"/>
    <w:rsid w:val="009E7419"/>
    <w:rsid w:val="009E78FB"/>
    <w:rsid w:val="009F06AE"/>
    <w:rsid w:val="009F7B90"/>
    <w:rsid w:val="00A00ACF"/>
    <w:rsid w:val="00A01F7A"/>
    <w:rsid w:val="00A23523"/>
    <w:rsid w:val="00A4191F"/>
    <w:rsid w:val="00A47CCE"/>
    <w:rsid w:val="00A53971"/>
    <w:rsid w:val="00A81BBF"/>
    <w:rsid w:val="00A85F2A"/>
    <w:rsid w:val="00AE319F"/>
    <w:rsid w:val="00AF1B23"/>
    <w:rsid w:val="00B23E50"/>
    <w:rsid w:val="00B7065A"/>
    <w:rsid w:val="00B75574"/>
    <w:rsid w:val="00BD305C"/>
    <w:rsid w:val="00BF720D"/>
    <w:rsid w:val="00C025FA"/>
    <w:rsid w:val="00C61736"/>
    <w:rsid w:val="00C646F8"/>
    <w:rsid w:val="00C6743D"/>
    <w:rsid w:val="00C733E4"/>
    <w:rsid w:val="00C93D3C"/>
    <w:rsid w:val="00CA56DD"/>
    <w:rsid w:val="00CB27A4"/>
    <w:rsid w:val="00CB6126"/>
    <w:rsid w:val="00CC62E8"/>
    <w:rsid w:val="00D0053D"/>
    <w:rsid w:val="00D10F8E"/>
    <w:rsid w:val="00D14F3A"/>
    <w:rsid w:val="00D2708C"/>
    <w:rsid w:val="00D60215"/>
    <w:rsid w:val="00D838F1"/>
    <w:rsid w:val="00D84BE7"/>
    <w:rsid w:val="00D85CEE"/>
    <w:rsid w:val="00DA4BE8"/>
    <w:rsid w:val="00DC3416"/>
    <w:rsid w:val="00DD30BE"/>
    <w:rsid w:val="00DE0921"/>
    <w:rsid w:val="00DF277B"/>
    <w:rsid w:val="00E277BC"/>
    <w:rsid w:val="00E34148"/>
    <w:rsid w:val="00E5065A"/>
    <w:rsid w:val="00E86401"/>
    <w:rsid w:val="00EC626A"/>
    <w:rsid w:val="00EC7808"/>
    <w:rsid w:val="00ED2DDC"/>
    <w:rsid w:val="00EE39FF"/>
    <w:rsid w:val="00F171AF"/>
    <w:rsid w:val="00F529FC"/>
    <w:rsid w:val="00F56D12"/>
    <w:rsid w:val="00F67967"/>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074248"/>
  <w15:chartTrackingRefBased/>
  <w15:docId w15:val="{FE428BEE-7845-41AD-BF02-450A29FA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rsid w:val="00174C1E"/>
  </w:style>
  <w:style w:type="character" w:customStyle="1" w:styleId="eop">
    <w:name w:val="eop"/>
    <w:basedOn w:val="DefaultParagraphFont"/>
    <w:rsid w:val="00174C1E"/>
  </w:style>
  <w:style w:type="paragraph" w:customStyle="1" w:styleId="paragraph">
    <w:name w:val="paragraph"/>
    <w:basedOn w:val="Normal"/>
    <w:rsid w:val="00174C1E"/>
    <w:pPr>
      <w:spacing w:before="100" w:beforeAutospacing="1" w:after="100" w:afterAutospacing="1"/>
    </w:pPr>
    <w:rPr>
      <w:rFonts w:ascii="Times New Roman" w:eastAsia="Times New Roman" w:hAnsi="Times New Roman" w:cs="Times New Roman"/>
      <w:kern w:val="0"/>
      <w:sz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urtsofnz.govt.nz/judgmen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eniorsecondary.tki.org.nz/Social-sciences/Legal-studies" TargetMode="External"/><Relationship Id="rId20" Type="http://schemas.openxmlformats.org/officeDocument/2006/relationships/footer" Target="footer3.xml"/><Relationship Id="rId11" Type="http://schemas.openxmlformats.org/officeDocument/2006/relationships/hyperlink" Target="https://www2.nzqa.govt.nz/tertiary/assessment-and-moderation-of-standards/assessment/resources/gathering-evidence-of-learner-achievement/" TargetMode="Externa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hyperlink" Target="http://www.justice.govt.nz/cour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urtsofnz.govt.nz/judgment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6252A-B2D9-46E0-A451-BD5D572E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60C8D-E990-4141-BB9F-433D9C9ABB1C}"/>
</file>

<file path=customXml/itemProps3.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4.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28</TotalTime>
  <Pages>8</Pages>
  <Words>1696</Words>
  <Characters>10377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15</cp:revision>
  <cp:lastPrinted>2023-12-04T02:23:00Z</cp:lastPrinted>
  <dcterms:created xsi:type="dcterms:W3CDTF">2024-12-03T01:08:00Z</dcterms:created>
  <dcterms:modified xsi:type="dcterms:W3CDTF">2024-12-16T20:01:00Z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7750946b-9054-445a-9fc7-823905d1f420</vt:lpwstr>
  </property>
</Properties>
</file>